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УТВЕРЖДЕНО</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Приказом Департамента</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жилищно-коммунального хозяйства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Ивановской области</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108</w:t>
      </w:r>
      <w:r>
        <w:rPr>
          <w:rFonts w:cs="Times New Roman" w:ascii="Times New Roman" w:hAnsi="Times New Roman"/>
          <w:sz w:val="24"/>
          <w:szCs w:val="24"/>
        </w:rPr>
        <w:t xml:space="preserve"> от «2</w:t>
      </w:r>
      <w:r>
        <w:rPr>
          <w:rFonts w:cs="Times New Roman" w:ascii="Times New Roman" w:hAnsi="Times New Roman"/>
          <w:sz w:val="24"/>
          <w:szCs w:val="24"/>
        </w:rPr>
        <w:t>5</w:t>
      </w:r>
      <w:r>
        <w:rPr>
          <w:rFonts w:cs="Times New Roman" w:ascii="Times New Roman" w:hAnsi="Times New Roman"/>
          <w:sz w:val="24"/>
          <w:szCs w:val="24"/>
        </w:rPr>
        <w:t xml:space="preserve">» </w:t>
      </w:r>
      <w:r>
        <w:rPr>
          <w:rFonts w:cs="Times New Roman" w:ascii="Times New Roman" w:hAnsi="Times New Roman"/>
          <w:sz w:val="24"/>
          <w:szCs w:val="24"/>
        </w:rPr>
        <w:t>августа</w:t>
      </w:r>
      <w:r>
        <w:rPr>
          <w:rFonts w:cs="Times New Roman" w:ascii="Times New Roman" w:hAnsi="Times New Roman"/>
          <w:sz w:val="24"/>
          <w:szCs w:val="24"/>
        </w:rPr>
        <w:t xml:space="preserve"> 2026 г.</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ДОКУМЕНТАЦИЯ О ПРОВЕДЕНИИ </w:t>
        <w:br/>
        <w:t>ПРЕДВАРИТЕЛЬНОГО ОТБОРА</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 </w:t>
      </w:r>
      <w:r>
        <w:rPr>
          <w:rFonts w:eastAsia="Times New Roman" w:cs="Times New Roman" w:ascii="Times New Roman" w:hAnsi="Times New Roman"/>
          <w:b/>
          <w:sz w:val="28"/>
          <w:szCs w:val="28"/>
          <w:lang w:eastAsia="ru-RU"/>
        </w:rPr>
        <w:t>ПО.е.26.</w:t>
      </w:r>
      <w:r>
        <w:rPr>
          <w:rFonts w:eastAsia="Times New Roman" w:cs="Times New Roman" w:ascii="Times New Roman" w:hAnsi="Times New Roman"/>
          <w:b/>
          <w:sz w:val="28"/>
          <w:szCs w:val="28"/>
          <w:lang w:eastAsia="ru-RU"/>
        </w:rPr>
        <w:t>3</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Иваново, 2026</w:t>
      </w:r>
      <w:r>
        <w:br w:type="page"/>
      </w:r>
    </w:p>
    <w:p>
      <w:pPr>
        <w:pStyle w:val="Normal"/>
        <w:spacing w:before="0" w:after="160"/>
        <w:jc w:val="center"/>
        <w:rPr>
          <w:rFonts w:ascii="Times New Roman" w:hAnsi="Times New Roman" w:cs="Times New Roman"/>
          <w:b/>
          <w:sz w:val="28"/>
          <w:szCs w:val="28"/>
        </w:rPr>
      </w:pPr>
      <w:r>
        <w:rPr>
          <w:rFonts w:cs="Times New Roman" w:ascii="Times New Roman" w:hAnsi="Times New Roman"/>
          <w:b/>
          <w:sz w:val="28"/>
          <w:szCs w:val="28"/>
        </w:rPr>
        <w:t xml:space="preserve">СОДЕРЖАНИЕ </w:t>
      </w:r>
    </w:p>
    <w:p>
      <w:pPr>
        <w:pStyle w:val="ListParagraph"/>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val="en-US" w:eastAsia="ru-RU"/>
        </w:rPr>
        <w:t>II</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Требования к выполнению работ по оценке соответствия лифтов требованиям технического регламента Таможенного союза 011/2011 «Безопасность лифтов» (ТР ТС 011/2011), утвержденного решением Комиссии Таможенного союза от 18 октября 2011 г. № 824 «О принятии технического регламента Таможенного союза «Безопасность лифтов».</w:t>
      </w:r>
    </w:p>
    <w:p>
      <w:pPr>
        <w:pStyle w:val="ListParagraph"/>
        <w:spacing w:lineRule="auto" w:line="240" w:before="0" w:after="0"/>
        <w:ind w:left="0"/>
        <w:contextualSpacing/>
        <w:jc w:val="both"/>
        <w:rPr>
          <w:rStyle w:val="Style15"/>
          <w:sz w:val="28"/>
          <w:szCs w:val="28"/>
        </w:rPr>
      </w:pPr>
      <w:r>
        <w:rPr>
          <w:rStyle w:val="Style15"/>
          <w:rFonts w:ascii="Times New Roman" w:hAnsi="Times New Roman"/>
          <w:sz w:val="28"/>
          <w:szCs w:val="28"/>
          <w:lang w:val="en-US"/>
        </w:rPr>
        <w:t>III</w:t>
      </w:r>
      <w:r>
        <w:rPr>
          <w:rStyle w:val="Style15"/>
          <w:rFonts w:ascii="Times New Roman" w:hAnsi="Times New Roman"/>
          <w:sz w:val="28"/>
          <w:szCs w:val="28"/>
        </w:rPr>
        <w:t>. Сведения о существенных условиях договора об оказании услуг и (или) выполнении работ.</w:t>
      </w:r>
    </w:p>
    <w:p>
      <w:pPr>
        <w:pStyle w:val="ListParagraph"/>
        <w:spacing w:lineRule="auto" w:line="240" w:before="0" w:after="0"/>
        <w:ind w:left="0"/>
        <w:contextualSpacing/>
        <w:jc w:val="both"/>
        <w:rPr/>
      </w:pPr>
      <w:r>
        <w:rPr>
          <w:rFonts w:cs="Times New Roman" w:ascii="Times New Roman" w:hAnsi="Times New Roman"/>
          <w:sz w:val="28"/>
          <w:szCs w:val="28"/>
          <w:lang w:val="en-US"/>
        </w:rPr>
        <w:t>IV</w:t>
      </w:r>
      <w:r>
        <w:rPr>
          <w:rFonts w:cs="Times New Roman" w:ascii="Times New Roman" w:hAnsi="Times New Roman"/>
          <w:sz w:val="28"/>
          <w:szCs w:val="28"/>
        </w:rPr>
        <w:t>. 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w:t>
      </w:r>
      <w:r>
        <w:rPr>
          <w:rFonts w:cs="Times New Roman" w:ascii="Times New Roman" w:hAnsi="Times New Roman"/>
          <w:sz w:val="28"/>
          <w:szCs w:val="28"/>
        </w:rPr>
        <w:t>.  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w:t>
      </w:r>
      <w:r>
        <w:rPr>
          <w:rFonts w:cs="Times New Roman" w:ascii="Times New Roman" w:hAnsi="Times New Roman"/>
          <w:sz w:val="28"/>
          <w:szCs w:val="28"/>
        </w:rPr>
        <w:t>. 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w:t>
      </w:r>
      <w:r>
        <w:rPr>
          <w:rFonts w:cs="Times New Roman" w:ascii="Times New Roman" w:hAnsi="Times New Roman"/>
          <w:sz w:val="28"/>
          <w:szCs w:val="28"/>
        </w:rPr>
        <w:t>. 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VIII</w:t>
      </w:r>
      <w:r>
        <w:rPr>
          <w:rFonts w:cs="Times New Roman" w:ascii="Times New Roman" w:hAnsi="Times New Roman"/>
          <w:sz w:val="28"/>
          <w:szCs w:val="28"/>
        </w:rPr>
        <w:t>. Порядок и срок отзыва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IX</w:t>
      </w:r>
      <w:r>
        <w:rPr>
          <w:rFonts w:cs="Times New Roman" w:ascii="Times New Roman" w:hAnsi="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t>Х. Порядок рассмотрения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штатно-списочного состава сотрудников (Приложение № 2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t>Примечание:</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t xml:space="preserve">1. Документация  разработана в соответствии с </w:t>
      </w:r>
      <w:r>
        <w:rPr>
          <w:rFonts w:cs="Times New Roman" w:ascii="Times New Roman" w:hAnsi="Times New Roman"/>
          <w:i/>
          <w:color w:themeColor="text1" w:val="000000"/>
          <w:sz w:val="28"/>
          <w:szCs w:val="28"/>
        </w:rPr>
        <w:t xml:space="preserve">Положением о </w:t>
      </w:r>
      <w:r>
        <w:rPr>
          <w:rFonts w:cs="Times New Roman" w:ascii="Times New Roman" w:hAnsi="Times New Roman"/>
          <w:i/>
          <w:sz w:val="28"/>
          <w:szCs w:val="28"/>
        </w:rPr>
        <w:t>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pPr>
        <w:pStyle w:val="ListParagraph"/>
        <w:numPr>
          <w:ilvl w:val="0"/>
          <w:numId w:val="12"/>
        </w:numPr>
        <w:tabs>
          <w:tab w:val="clear" w:pos="708"/>
          <w:tab w:val="left" w:pos="284" w:leader="none"/>
        </w:tabs>
        <w:spacing w:lineRule="auto" w:line="240" w:before="0" w:after="0"/>
        <w:ind w:hanging="0" w:left="0"/>
        <w:contextualSpacing/>
        <w:jc w:val="center"/>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b/>
          <w:sz w:val="28"/>
          <w:szCs w:val="28"/>
        </w:rPr>
      </w:pPr>
      <w:r>
        <w:rPr>
          <w:rFonts w:cs="Times New Roman" w:ascii="Times New Roman" w:hAnsi="Times New Roman"/>
          <w:b/>
          <w:sz w:val="28"/>
          <w:szCs w:val="28"/>
        </w:rPr>
      </w:r>
    </w:p>
    <w:p>
      <w:pPr>
        <w:pStyle w:val="Normal"/>
        <w:tabs>
          <w:tab w:val="clear" w:pos="708"/>
          <w:tab w:val="left" w:pos="3060" w:leader="none"/>
        </w:tabs>
        <w:spacing w:lineRule="auto" w:line="240" w:before="0" w:after="0"/>
        <w:ind w:right="2"/>
        <w:jc w:val="both"/>
        <w:rPr>
          <w:rFonts w:ascii="Times New Roman" w:hAnsi="Times New Roman"/>
          <w:bCs/>
          <w:sz w:val="28"/>
          <w:szCs w:val="28"/>
        </w:rPr>
      </w:pPr>
      <w:r>
        <w:rPr>
          <w:rFonts w:ascii="Times New Roman" w:hAnsi="Times New Roman"/>
          <w:b/>
          <w:bCs/>
          <w:sz w:val="28"/>
          <w:szCs w:val="28"/>
        </w:rPr>
        <w:t xml:space="preserve">1. Орган  по  ведению  реестра  квалифицированных  подрядных организаций (далее – Орган по ведению РКПО) – </w:t>
      </w:r>
      <w:r>
        <w:rPr>
          <w:rFonts w:ascii="Times New Roman" w:hAnsi="Times New Roman"/>
          <w:bCs/>
          <w:i/>
          <w:sz w:val="24"/>
          <w:szCs w:val="24"/>
          <w:u w:val="single"/>
        </w:rPr>
        <w:t>Департамент жилищно-коммунального хозяйства Ивановской области</w:t>
      </w:r>
    </w:p>
    <w:p>
      <w:pPr>
        <w:pStyle w:val="Normal"/>
        <w:tabs>
          <w:tab w:val="clear" w:pos="708"/>
          <w:tab w:val="left" w:pos="3060" w:leader="none"/>
        </w:tabs>
        <w:spacing w:lineRule="auto" w:line="240" w:before="0" w:after="0"/>
        <w:ind w:right="2"/>
        <w:jc w:val="both"/>
        <w:rPr>
          <w:rFonts w:ascii="Times New Roman" w:hAnsi="Times New Roman"/>
          <w:b/>
          <w:bCs/>
          <w:sz w:val="24"/>
        </w:rPr>
      </w:pPr>
      <w:r>
        <w:rPr>
          <w:rFonts w:ascii="Times New Roman" w:hAnsi="Times New Roman"/>
          <w:b/>
          <w:bCs/>
          <w:sz w:val="28"/>
          <w:szCs w:val="28"/>
        </w:rPr>
        <w:t>2. Номер предварительного отбора: № ПО.е.26.</w:t>
      </w:r>
      <w:r>
        <w:rPr>
          <w:rFonts w:ascii="Times New Roman" w:hAnsi="Times New Roman"/>
          <w:b/>
          <w:bCs/>
          <w:sz w:val="24"/>
          <w:szCs w:val="28"/>
        </w:rPr>
        <w:t>3</w:t>
      </w:r>
    </w:p>
    <w:p>
      <w:pPr>
        <w:pStyle w:val="Normal"/>
        <w:tabs>
          <w:tab w:val="clear" w:pos="708"/>
          <w:tab w:val="left" w:pos="3060" w:leader="none"/>
        </w:tabs>
        <w:spacing w:lineRule="auto" w:line="240" w:before="0" w:after="0"/>
        <w:ind w:right="2"/>
        <w:jc w:val="both"/>
        <w:rPr>
          <w:rFonts w:ascii="Times New Roman" w:hAnsi="Times New Roman" w:cs="Times New Roman"/>
          <w:i/>
          <w:i/>
          <w:sz w:val="24"/>
          <w:szCs w:val="24"/>
          <w:u w:val="single"/>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Pr>
          <w:rFonts w:cs="Times New Roman" w:ascii="Times New Roman" w:hAnsi="Times New Roman"/>
          <w:i/>
          <w:sz w:val="24"/>
          <w:szCs w:val="24"/>
          <w:u w:val="single"/>
        </w:rPr>
        <w:t>выполнение работ по оценке соответствия лифтов требованиям технического регламента Таможенного союза 011/2011 «Безопасность лифтов» (ТР ТС 011/2011), утвержденного решением Комиссии Таможенного союза от 18 октября 2011 г. № 824 «О принятии технического регламента Таможенного союза «Безопасность лифтов»</w:t>
      </w:r>
    </w:p>
    <w:p>
      <w:pPr>
        <w:pStyle w:val="Normal"/>
        <w:tabs>
          <w:tab w:val="clear" w:pos="708"/>
          <w:tab w:val="left" w:pos="3060" w:leader="none"/>
        </w:tabs>
        <w:spacing w:lineRule="auto" w:line="240" w:before="0" w:after="0"/>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РКПО</w:t>
      </w:r>
      <w:r>
        <w:rPr>
          <w:rFonts w:ascii="Times New Roman" w:hAnsi="Times New Roman"/>
          <w:bCs/>
          <w:sz w:val="28"/>
          <w:szCs w:val="28"/>
        </w:rPr>
        <w:t xml:space="preserve">: </w:t>
      </w:r>
    </w:p>
    <w:p>
      <w:pPr>
        <w:pStyle w:val="Normal"/>
        <w:tabs>
          <w:tab w:val="clear" w:pos="708"/>
          <w:tab w:val="left" w:pos="3060" w:leader="none"/>
        </w:tabs>
        <w:spacing w:lineRule="auto" w:line="240" w:before="0" w:after="0"/>
        <w:rPr>
          <w:rFonts w:ascii="Times New Roman" w:hAnsi="Times New Roman" w:cs="Times New Roman"/>
          <w:bCs/>
          <w:sz w:val="24"/>
          <w:szCs w:val="24"/>
        </w:rPr>
      </w:pPr>
      <w:r>
        <w:rPr>
          <w:rFonts w:cs="Times New Roman" w:ascii="Times New Roman" w:hAnsi="Times New Roman"/>
          <w:b/>
          <w:bCs/>
          <w:sz w:val="28"/>
          <w:szCs w:val="28"/>
        </w:rPr>
        <w:t xml:space="preserve">Место нахождения: </w:t>
      </w:r>
      <w:r>
        <w:rPr>
          <w:rFonts w:cs="Times New Roman" w:ascii="Times New Roman" w:hAnsi="Times New Roman"/>
          <w:bCs/>
          <w:sz w:val="24"/>
          <w:szCs w:val="24"/>
          <w:u w:val="single"/>
        </w:rPr>
        <w:t>153000, г. Иваново, ул. Батурина, д. 8</w:t>
      </w:r>
    </w:p>
    <w:p>
      <w:pPr>
        <w:pStyle w:val="Normal"/>
        <w:tabs>
          <w:tab w:val="clear" w:pos="708"/>
          <w:tab w:val="left" w:pos="3060" w:leader="none"/>
        </w:tabs>
        <w:spacing w:lineRule="auto" w:line="240" w:before="0" w:after="0"/>
        <w:rPr>
          <w:rFonts w:ascii="Times New Roman" w:hAnsi="Times New Roman" w:cs="Times New Roman"/>
          <w:b/>
          <w:bCs/>
          <w:sz w:val="28"/>
          <w:szCs w:val="28"/>
          <w:u w:val="single"/>
        </w:rPr>
      </w:pPr>
      <w:r>
        <w:rPr>
          <w:rFonts w:cs="Times New Roman" w:ascii="Times New Roman" w:hAnsi="Times New Roman"/>
          <w:b/>
          <w:bCs/>
          <w:sz w:val="28"/>
          <w:szCs w:val="28"/>
        </w:rPr>
        <w:t xml:space="preserve">Почтовый адрес: </w:t>
      </w:r>
      <w:r>
        <w:rPr>
          <w:rFonts w:cs="Times New Roman" w:ascii="Times New Roman" w:hAnsi="Times New Roman"/>
          <w:bCs/>
          <w:sz w:val="24"/>
          <w:szCs w:val="24"/>
          <w:u w:val="single"/>
        </w:rPr>
        <w:t>153000, г. Иваново, пл. Революции, д. 2/1, каб. 434</w:t>
      </w:r>
      <w:r>
        <w:rPr>
          <w:rFonts w:cs="Times New Roman" w:ascii="Times New Roman" w:hAnsi="Times New Roman"/>
          <w:b/>
          <w:bCs/>
          <w:sz w:val="24"/>
          <w:szCs w:val="24"/>
          <w:u w:val="single"/>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b/>
          <w:sz w:val="28"/>
          <w:szCs w:val="28"/>
          <w:lang w:eastAsia="ru-RU"/>
        </w:rPr>
      </w:pPr>
      <w:r>
        <w:rPr>
          <w:rFonts w:cs="Times New Roman" w:ascii="Times New Roman" w:hAnsi="Times New Roman"/>
          <w:b/>
          <w:bCs/>
          <w:sz w:val="28"/>
          <w:szCs w:val="28"/>
          <w:lang w:val="en-US"/>
        </w:rPr>
        <w:t>e</w:t>
      </w:r>
      <w:r>
        <w:rPr>
          <w:rFonts w:cs="Times New Roman" w:ascii="Times New Roman" w:hAnsi="Times New Roman"/>
          <w:b/>
          <w:bCs/>
          <w:sz w:val="28"/>
          <w:szCs w:val="28"/>
        </w:rPr>
        <w:t>-</w:t>
      </w:r>
      <w:r>
        <w:rPr>
          <w:rFonts w:cs="Times New Roman" w:ascii="Times New Roman" w:hAnsi="Times New Roman"/>
          <w:b/>
          <w:bCs/>
          <w:sz w:val="28"/>
          <w:szCs w:val="28"/>
          <w:lang w:val="en-US"/>
        </w:rPr>
        <w:t>mail</w:t>
      </w:r>
      <w:r>
        <w:rPr>
          <w:rFonts w:cs="Times New Roman" w:ascii="Times New Roman" w:hAnsi="Times New Roman"/>
          <w:b/>
          <w:bCs/>
          <w:sz w:val="28"/>
          <w:szCs w:val="28"/>
        </w:rPr>
        <w:t>:</w:t>
      </w:r>
      <w:r>
        <w:rPr>
          <w:rFonts w:cs="Times New Roman" w:ascii="Times New Roman" w:hAnsi="Times New Roman"/>
          <w:bCs/>
          <w:sz w:val="28"/>
          <w:szCs w:val="28"/>
        </w:rPr>
        <w:t xml:space="preserve"> </w:t>
      </w:r>
      <w:r>
        <w:rPr>
          <w:rFonts w:cs="Times New Roman" w:ascii="Times New Roman" w:hAnsi="Times New Roman"/>
          <w:bCs/>
          <w:sz w:val="24"/>
          <w:u w:val="single"/>
          <w:lang w:val="en-US"/>
        </w:rPr>
        <w:t>dgkh</w:t>
      </w:r>
      <w:r>
        <w:rPr>
          <w:rFonts w:cs="Times New Roman" w:ascii="Times New Roman" w:hAnsi="Times New Roman"/>
          <w:bCs/>
          <w:sz w:val="24"/>
          <w:u w:val="single"/>
        </w:rPr>
        <w:t>@</w:t>
      </w:r>
      <w:r>
        <w:rPr>
          <w:rFonts w:cs="Times New Roman" w:ascii="Times New Roman" w:hAnsi="Times New Roman"/>
          <w:bCs/>
          <w:sz w:val="24"/>
          <w:u w:val="single"/>
          <w:lang w:val="en-US"/>
        </w:rPr>
        <w:t>ivreg</w:t>
      </w:r>
      <w:r>
        <w:rPr>
          <w:rFonts w:cs="Times New Roman" w:ascii="Times New Roman" w:hAnsi="Times New Roman"/>
          <w:bCs/>
          <w:sz w:val="24"/>
          <w:u w:val="single"/>
        </w:rPr>
        <w:t>.</w:t>
      </w:r>
      <w:r>
        <w:rPr>
          <w:rFonts w:cs="Times New Roman" w:ascii="Times New Roman" w:hAnsi="Times New Roman"/>
          <w:bCs/>
          <w:sz w:val="24"/>
          <w:u w:val="single"/>
          <w:lang w:val="en-US"/>
        </w:rPr>
        <w:t>ru</w:t>
      </w:r>
      <w:r>
        <w:rPr>
          <w:rFonts w:eastAsia="Times New Roman" w:cs="Times New Roman" w:ascii="Times New Roman" w:hAnsi="Times New Roman"/>
          <w:b/>
          <w:sz w:val="24"/>
          <w:szCs w:val="24"/>
          <w:lang w:eastAsia="ru-RU"/>
        </w:rPr>
        <w:t xml:space="preserve"> </w:t>
      </w:r>
    </w:p>
    <w:p>
      <w:pPr>
        <w:pStyle w:val="Normal"/>
        <w:tabs>
          <w:tab w:val="clear" w:pos="708"/>
          <w:tab w:val="left" w:pos="30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sz w:val="28"/>
          <w:szCs w:val="28"/>
          <w:lang w:eastAsia="ru-RU"/>
        </w:rPr>
        <w:t xml:space="preserve">телефон: </w:t>
      </w:r>
      <w:r>
        <w:rPr>
          <w:rFonts w:ascii="Times New Roman" w:hAnsi="Times New Roman"/>
          <w:sz w:val="24"/>
          <w:szCs w:val="24"/>
          <w:u w:val="single"/>
        </w:rPr>
        <w:t>(4932) 47-14-37, 41-43-46</w:t>
      </w:r>
    </w:p>
    <w:p>
      <w:pPr>
        <w:pStyle w:val="Normal"/>
        <w:tabs>
          <w:tab w:val="clear" w:pos="708"/>
          <w:tab w:val="left" w:pos="3060" w:leader="none"/>
        </w:tabs>
        <w:spacing w:lineRule="auto" w:line="240" w:before="0" w:after="0"/>
        <w:rPr>
          <w:rFonts w:ascii="Times New Roman" w:hAnsi="Times New Roman" w:cs="Times New Roman"/>
          <w:b/>
          <w:bCs/>
          <w:sz w:val="28"/>
          <w:szCs w:val="28"/>
        </w:rPr>
      </w:pPr>
      <w:r>
        <w:rPr>
          <w:rFonts w:cs="Times New Roman" w:ascii="Times New Roman" w:hAnsi="Times New Roman"/>
          <w:b/>
          <w:bCs/>
          <w:sz w:val="28"/>
          <w:szCs w:val="28"/>
        </w:rPr>
        <w:t xml:space="preserve">официальный сайт, на котором размещена документация о проведении предварительного отбора: </w:t>
      </w:r>
      <w:r>
        <w:rPr>
          <w:rFonts w:cs="Times New Roman" w:ascii="Times New Roman" w:hAnsi="Times New Roman"/>
          <w:bCs/>
          <w:sz w:val="24"/>
          <w:szCs w:val="24"/>
          <w:u w:val="single"/>
        </w:rPr>
        <w:t>http://gkh.ivanovoobl.ru/</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pPr>
        <w:pStyle w:val="ListParagraph"/>
        <w:tabs>
          <w:tab w:val="clear" w:pos="708"/>
          <w:tab w:val="left" w:pos="3060" w:leader="none"/>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Pr>
          <w:rFonts w:ascii="Times New Roman" w:hAnsi="Times New Roman"/>
          <w:bCs/>
          <w:sz w:val="24"/>
          <w:u w:val="single"/>
        </w:rPr>
        <w:t>Закрытое акционерное общество «Сбербанк – Автоматизированная Система Торгов» (ЗАО «Сбербанк-АСТ»)</w:t>
      </w:r>
    </w:p>
    <w:p>
      <w:pPr>
        <w:pStyle w:val="ListParagraph"/>
        <w:tabs>
          <w:tab w:val="clear" w:pos="708"/>
          <w:tab w:val="left" w:pos="3060" w:leader="none"/>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Pr>
          <w:rFonts w:ascii="Times New Roman" w:hAnsi="Times New Roman"/>
          <w:bCs/>
          <w:sz w:val="24"/>
          <w:u w:val="single"/>
        </w:rPr>
        <w:t>http://www.sberbank-ast.ru/</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отборе (далее – Заявка):</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6</w:t>
      </w:r>
      <w:r>
        <w:rPr>
          <w:rFonts w:ascii="Times New Roman" w:hAnsi="Times New Roman"/>
          <w:bCs/>
          <w:sz w:val="24"/>
        </w:rPr>
        <w:t xml:space="preserve">» </w:t>
      </w:r>
      <w:r>
        <w:rPr>
          <w:rFonts w:ascii="Times New Roman" w:hAnsi="Times New Roman"/>
          <w:bCs/>
          <w:sz w:val="24"/>
        </w:rPr>
        <w:t>августа</w:t>
      </w:r>
      <w:r>
        <w:rPr>
          <w:rFonts w:ascii="Times New Roman" w:hAnsi="Times New Roman"/>
          <w:bCs/>
          <w:sz w:val="24"/>
        </w:rPr>
        <w:t xml:space="preserve"> 2026 года </w:t>
        <w:br/>
        <w:t>00 часов 00 минут</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Pr>
          <w:rFonts w:ascii="Times New Roman" w:hAnsi="Times New Roman"/>
          <w:bCs/>
          <w:sz w:val="24"/>
        </w:rPr>
        <w:t xml:space="preserve">«15» </w:t>
      </w:r>
      <w:r>
        <w:rPr>
          <w:rFonts w:ascii="Times New Roman" w:hAnsi="Times New Roman"/>
          <w:bCs/>
          <w:sz w:val="24"/>
        </w:rPr>
        <w:t>сентября</w:t>
      </w:r>
      <w:r>
        <w:rPr>
          <w:rFonts w:ascii="Times New Roman" w:hAnsi="Times New Roman"/>
          <w:bCs/>
          <w:sz w:val="24"/>
        </w:rPr>
        <w:t xml:space="preserve"> 2026 года </w:t>
        <w:br/>
        <w:t>10 часов 00 минут</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«2</w:t>
      </w:r>
      <w:r>
        <w:rPr>
          <w:rFonts w:ascii="Times New Roman" w:hAnsi="Times New Roman"/>
          <w:bCs/>
          <w:sz w:val="24"/>
        </w:rPr>
        <w:t>5</w:t>
      </w:r>
      <w:r>
        <w:rPr>
          <w:rFonts w:ascii="Times New Roman" w:hAnsi="Times New Roman"/>
          <w:bCs/>
          <w:sz w:val="24"/>
        </w:rPr>
        <w:t xml:space="preserve">» </w:t>
      </w:r>
      <w:r>
        <w:rPr>
          <w:rFonts w:ascii="Times New Roman" w:hAnsi="Times New Roman"/>
          <w:bCs/>
          <w:sz w:val="24"/>
        </w:rPr>
        <w:t>сентября</w:t>
      </w:r>
      <w:r>
        <w:rPr>
          <w:rFonts w:ascii="Times New Roman" w:hAnsi="Times New Roman"/>
          <w:bCs/>
          <w:sz w:val="24"/>
        </w:rPr>
        <w:t xml:space="preserve"> 2026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Pr>
          <w:rFonts w:ascii="Times New Roman" w:hAnsi="Times New Roman"/>
          <w:bCs/>
          <w:sz w:val="24"/>
        </w:rPr>
        <w:t xml:space="preserve"> 3 года</w:t>
      </w:r>
    </w:p>
    <w:p>
      <w:pPr>
        <w:pStyle w:val="ListParagraph"/>
        <w:tabs>
          <w:tab w:val="clear" w:pos="708"/>
          <w:tab w:val="left" w:pos="3060" w:leader="none"/>
        </w:tabs>
        <w:spacing w:lineRule="auto" w:line="240" w:before="0" w:after="0"/>
        <w:ind w:left="426" w:right="2"/>
        <w:contextualSpacing/>
        <w:jc w:val="both"/>
        <w:rPr>
          <w:rFonts w:ascii="Times New Roman" w:hAnsi="Times New Roman"/>
          <w:bCs/>
          <w:sz w:val="24"/>
        </w:rPr>
      </w:pPr>
      <w:r>
        <w:rPr>
          <w:rFonts w:ascii="Times New Roman" w:hAnsi="Times New Roman"/>
          <w:bCs/>
          <w:sz w:val="24"/>
        </w:rPr>
      </w:r>
    </w:p>
    <w:p>
      <w:pPr>
        <w:pStyle w:val="ListParagraph"/>
        <w:tabs>
          <w:tab w:val="clear" w:pos="708"/>
          <w:tab w:val="left" w:pos="3060" w:leader="none"/>
        </w:tabs>
        <w:spacing w:lineRule="auto" w:line="240" w:before="0" w:after="0"/>
        <w:ind w:left="426" w:right="2"/>
        <w:contextualSpacing/>
        <w:jc w:val="both"/>
        <w:rPr>
          <w:rFonts w:ascii="Times New Roman" w:hAnsi="Times New Roman"/>
          <w:bCs/>
          <w:sz w:val="24"/>
        </w:rPr>
      </w:pPr>
      <w:r>
        <w:rPr>
          <w:rFonts w:ascii="Times New Roman" w:hAnsi="Times New Roman"/>
          <w:bCs/>
          <w:sz w:val="24"/>
        </w:rPr>
      </w:r>
    </w:p>
    <w:p>
      <w:pPr>
        <w:pStyle w:val="ListParagraph"/>
        <w:numPr>
          <w:ilvl w:val="0"/>
          <w:numId w:val="13"/>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выполнению работ по оценке соответствия лифтов требованиям технического регламента Таможенного союза 011/2011 «Безопасность лифтов» (ТР ТС 011/2011), утвержденного решением Комиссии Таможенного союза от 18 октября 2011 г. № 824 «О принятии технического регламента Таможенного союза «Безопасность лифтов»</w:t>
      </w:r>
    </w:p>
    <w:tbl>
      <w:tblPr>
        <w:tblW w:w="9924"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708"/>
        <w:gridCol w:w="3072"/>
        <w:gridCol w:w="6144"/>
      </w:tblGrid>
      <w:tr>
        <w:trPr>
          <w:tblHeader w:val="true"/>
          <w:trHeight w:val="458" w:hRule="atLeast"/>
        </w:trPr>
        <w:tc>
          <w:tcPr>
            <w:tcW w:w="708"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3072"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Требования</w:t>
            </w:r>
          </w:p>
        </w:tc>
        <w:tc>
          <w:tcPr>
            <w:tcW w:w="6144"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Описание</w:t>
            </w:r>
          </w:p>
        </w:tc>
      </w:tr>
      <w:tr>
        <w:trPr>
          <w:tblHeader w:val="true"/>
          <w:trHeight w:val="458" w:hRule="atLeast"/>
        </w:trPr>
        <w:tc>
          <w:tcPr>
            <w:tcW w:w="708"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3072"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6144"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r>
      <w:tr>
        <w:trPr>
          <w:tblHeader w:val="true"/>
          <w:trHeight w:val="164" w:hRule="atLeast"/>
        </w:trPr>
        <w:tc>
          <w:tcPr>
            <w:tcW w:w="708"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2"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614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r>
      <w:tr>
        <w:trPr>
          <w:trHeight w:val="196" w:hRule="atLeast"/>
        </w:trPr>
        <w:tc>
          <w:tcPr>
            <w:tcW w:w="7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tabs>
                <w:tab w:val="clear" w:pos="708"/>
                <w:tab w:val="left" w:pos="284" w:leader="none"/>
              </w:tabs>
              <w:spacing w:lineRule="auto" w:line="240" w:before="0" w:after="0"/>
              <w:ind w:left="0"/>
              <w:contextualSpacing w:val="false"/>
              <w:rPr>
                <w:rFonts w:ascii="Times New Roman" w:hAnsi="Times New Roman" w:cs="Times New Roman"/>
                <w:sz w:val="24"/>
                <w:szCs w:val="24"/>
              </w:rPr>
            </w:pPr>
            <w:r>
              <w:rPr>
                <w:rFonts w:eastAsia="Times New Roman" w:cs="Times New Roman" w:ascii="Times New Roman" w:hAnsi="Times New Roman"/>
                <w:sz w:val="24"/>
                <w:szCs w:val="24"/>
                <w:lang w:eastAsia="ru-RU"/>
              </w:rPr>
              <w:t xml:space="preserve">Требование к </w:t>
            </w:r>
            <w:r>
              <w:rPr>
                <w:rFonts w:cs="Times New Roman" w:ascii="Times New Roman" w:hAnsi="Times New Roman"/>
                <w:sz w:val="24"/>
                <w:szCs w:val="24"/>
              </w:rPr>
              <w:t>оказанию услуг и (или) выполнению работ по капитальному ремонту общего имущества в многоквартирном доме</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по предмету предварительного отбора подрядных организаций «выполнение работ по оценке соответствия лифтов требованиям технического регламента Таможенного союза 011/2011 «Безопасность лифтов» (ТР ТС 011/2011), утвержденного решением Комиссии Таможенного союза от 18 октября 2011 г. № 824 «О принятии технического регламента Таможенного союза «Безопасность лифтов»</w:t>
            </w:r>
          </w:p>
        </w:tc>
        <w:tc>
          <w:tcPr>
            <w:tcW w:w="61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выполняемых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Исполнитель должен обеспечить выполнение работ в соответствии с требованиями нормативных документов РФ:</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Технический регламент Таможенного союза 011/2011 «Безопасность лифтов» (ТР ТС 011/2011);</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Национальный стандарт РФ ГОСТ Р 53782-2010 «Лифты. Правила и методы оценки соответствия лифтов при вводе в эксплуатацию».</w:t>
            </w:r>
          </w:p>
        </w:tc>
      </w:tr>
    </w:tbl>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14"/>
        </w:numPr>
        <w:spacing w:lineRule="auto" w:line="240" w:before="0" w:after="0"/>
        <w:ind w:hanging="0" w:left="0"/>
        <w:contextualSpacing w:val="false"/>
        <w:jc w:val="center"/>
        <w:rPr>
          <w:rFonts w:ascii="Times New Roman" w:hAnsi="Times New Roman" w:cs="Times New Roman"/>
          <w:b/>
          <w:sz w:val="28"/>
          <w:szCs w:val="28"/>
        </w:rPr>
      </w:pPr>
      <w:r>
        <w:rPr>
          <w:rStyle w:val="Style15"/>
          <w:rFonts w:cs="Times New Roman" w:ascii="Times New Roman" w:hAnsi="Times New Roman"/>
          <w:b/>
          <w:sz w:val="28"/>
          <w:szCs w:val="28"/>
        </w:rPr>
        <w:t>Сведения о существенных условиях договора об оказании услуг и (или) выполнении работ</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Style w:val="ab"/>
        <w:tblW w:w="10348" w:type="dxa"/>
        <w:jc w:val="left"/>
        <w:tblInd w:w="-318" w:type="dxa"/>
        <w:tblLayout w:type="fixed"/>
        <w:tblCellMar>
          <w:top w:w="0" w:type="dxa"/>
          <w:left w:w="108" w:type="dxa"/>
          <w:bottom w:w="0" w:type="dxa"/>
          <w:right w:w="108" w:type="dxa"/>
        </w:tblCellMar>
        <w:tblLook w:firstRow="1" w:noVBand="1" w:lastRow="0" w:firstColumn="1" w:lastColumn="0" w:noHBand="0" w:val="04a0"/>
      </w:tblPr>
      <w:tblGrid>
        <w:gridCol w:w="567"/>
        <w:gridCol w:w="2410"/>
        <w:gridCol w:w="7371"/>
      </w:tblGrid>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 xml:space="preserve">№ </w:t>
            </w:r>
            <w:r>
              <w:rPr>
                <w:rStyle w:val="Style15"/>
                <w:rFonts w:eastAsia="Calibri" w:cs="Times New Roman" w:ascii="Times New Roman" w:hAnsi="Times New Roman"/>
                <w:b/>
                <w:kern w:val="0"/>
                <w:sz w:val="24"/>
                <w:szCs w:val="24"/>
                <w:lang w:val="ru-RU" w:eastAsia="en-US" w:bidi="ar-SA"/>
              </w:rPr>
              <w:t>п/п</w:t>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Условие</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Описание условия</w:t>
            </w:r>
          </w:p>
        </w:tc>
      </w:tr>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Fonts w:cs="Times New Roman" w:ascii="Times New Roman" w:hAnsi="Times New Roman"/>
                <w:sz w:val="24"/>
                <w:szCs w:val="24"/>
              </w:rPr>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Заказчик</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Некоммерческая организация «Региональный фонд капитального ремонта многоквартирных домов 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Предмет договора</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 xml:space="preserve">Предметом договора является </w:t>
            </w:r>
            <w:r>
              <w:rPr>
                <w:rStyle w:val="Style15"/>
                <w:rFonts w:eastAsia="Calibri" w:cs="Times New Roman" w:ascii="Times New Roman" w:hAnsi="Times New Roman"/>
                <w:i/>
                <w:kern w:val="0"/>
                <w:sz w:val="24"/>
                <w:szCs w:val="24"/>
                <w:u w:val="single"/>
                <w:lang w:val="ru-RU" w:eastAsia="en-US" w:bidi="ar-SA"/>
              </w:rPr>
              <w:t>выполнение работ по оценке соответствия лифтов требованиям технического регламента Таможенного союза 011/2011 «Безопасность лифтов» (ТР ТС 011/2011), утвержденного решением Комиссии Таможенного союза от 18 октября 2011 г. № 824 «О принятии технического регламента Таможенного союза «Безопасность лифтов».</w:t>
            </w:r>
          </w:p>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 xml:space="preserve">Работы будут выполняться исполнителем в отношении объектов, указанных в ориентировочном адресном перечне, установленном постановлением Правительства Ивановской области от 30.04.2014 </w:t>
              <w:br/>
              <w:t>№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размещенном на сайте в информационно-коммуникационной сети «Интернет»</w:t>
            </w:r>
            <w:r>
              <w:rPr>
                <w:rFonts w:eastAsia="Calibri" w:cs="Times New Roman" w:ascii="Times New Roman" w:hAnsi="Times New Roman"/>
                <w:kern w:val="0"/>
                <w:sz w:val="28"/>
                <w:szCs w:val="28"/>
                <w:lang w:val="ru-RU" w:eastAsia="en-US" w:bidi="ar-SA"/>
              </w:rPr>
              <w:t xml:space="preserve"> </w:t>
            </w:r>
            <w:r>
              <w:rPr>
                <w:rFonts w:eastAsia="Calibri" w:cs="Times New Roman" w:ascii="Times New Roman" w:hAnsi="Times New Roman"/>
                <w:kern w:val="0"/>
                <w:sz w:val="24"/>
                <w:szCs w:val="24"/>
                <w:lang w:val="ru-RU" w:eastAsia="en-US" w:bidi="ar-SA"/>
              </w:rPr>
              <w:t xml:space="preserve">по </w:t>
            </w:r>
            <w:r>
              <w:rPr>
                <w:rFonts w:eastAsia="Calibri" w:cs="Times New Roman" w:ascii="Times New Roman" w:hAnsi="Times New Roman"/>
                <w:kern w:val="0"/>
                <w:sz w:val="24"/>
                <w:szCs w:val="24"/>
                <w:lang w:val="en-US" w:eastAsia="en-US" w:bidi="ar-SA"/>
              </w:rPr>
              <w:t>web</w:t>
            </w:r>
            <w:r>
              <w:rPr>
                <w:rFonts w:eastAsia="Calibri" w:cs="Times New Roman" w:ascii="Times New Roman" w:hAnsi="Times New Roman"/>
                <w:kern w:val="0"/>
                <w:sz w:val="24"/>
                <w:szCs w:val="24"/>
                <w:lang w:val="ru-RU" w:eastAsia="en-US" w:bidi="ar-SA"/>
              </w:rPr>
              <w:t xml:space="preserve">-адресу: </w:t>
            </w:r>
            <w:r>
              <w:rPr>
                <w:rStyle w:val="Style15"/>
                <w:rFonts w:eastAsia="Calibri" w:cs="Times New Roman" w:ascii="Times New Roman" w:hAnsi="Times New Roman"/>
                <w:kern w:val="0"/>
                <w:sz w:val="24"/>
                <w:szCs w:val="24"/>
                <w:lang w:val="ru-RU" w:eastAsia="en-US" w:bidi="ar-SA"/>
              </w:rPr>
              <w:t xml:space="preserve">http://www.kaprem37.ru/ в разделе </w:t>
            </w:r>
            <w:r>
              <w:rPr>
                <w:rFonts w:eastAsia="Calibri" w:cs="Times New Roman" w:ascii="Times New Roman" w:hAnsi="Times New Roman"/>
                <w:kern w:val="0"/>
                <w:sz w:val="24"/>
                <w:szCs w:val="24"/>
                <w:lang w:val="ru-RU" w:eastAsia="en-US" w:bidi="ar-SA"/>
              </w:rPr>
              <w:t>- «Региональная программа»</w:t>
            </w:r>
            <w:r>
              <w:rPr>
                <w:rStyle w:val="Style15"/>
                <w:rFonts w:eastAsia="Calibri" w:cs="Times New Roman" w:ascii="Times New Roman" w:hAnsi="Times New Roman"/>
                <w:kern w:val="0"/>
                <w:sz w:val="24"/>
                <w:szCs w:val="24"/>
                <w:lang w:val="ru-RU" w:eastAsia="en-US" w:bidi="ar-SA"/>
              </w:rPr>
              <w:t>.</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3</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Цена договора</w:t>
            </w:r>
          </w:p>
        </w:tc>
        <w:tc>
          <w:tcPr>
            <w:tcW w:w="7371" w:type="dxa"/>
            <w:tcBorders/>
          </w:tcPr>
          <w:p>
            <w:pPr>
              <w:pStyle w:val="Normal"/>
              <w:widowControl/>
              <w:shd w:val="clear" w:color="auto" w:fill="FFFFFF" w:themeFill="background1"/>
              <w:suppressAutoHyphens w:val="true"/>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kern w:val="0"/>
                <w:sz w:val="24"/>
                <w:szCs w:val="24"/>
                <w:lang w:val="ru-RU" w:eastAsia="ru-RU" w:bidi="ar-SA"/>
              </w:rPr>
              <w:t>1. Определяется по итогам проведения электронного аукциона.</w:t>
            </w:r>
          </w:p>
          <w:p>
            <w:pPr>
              <w:pStyle w:val="Normal"/>
              <w:widowControl/>
              <w:shd w:val="clear" w:color="auto" w:fill="FFFFFF" w:themeFill="background1"/>
              <w:suppressAutoHyphens w:val="true"/>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kern w:val="0"/>
                <w:sz w:val="24"/>
                <w:szCs w:val="24"/>
                <w:lang w:val="ru-RU" w:eastAsia="ru-RU" w:bidi="ar-SA"/>
              </w:rPr>
              <w:t>2. 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pPr>
              <w:pStyle w:val="ListParagraph"/>
              <w:widowControl/>
              <w:tabs>
                <w:tab w:val="clear" w:pos="708"/>
                <w:tab w:val="left" w:pos="450" w:leader="none"/>
              </w:tabs>
              <w:suppressAutoHyphens w:val="true"/>
              <w:spacing w:lineRule="auto" w:line="240" w:before="0" w:after="0"/>
              <w:ind w:left="0"/>
              <w:contextualSpacing/>
              <w:jc w:val="both"/>
              <w:rPr>
                <w:rFonts w:ascii="Times New Roman" w:hAnsi="Times New Roman" w:eastAsia="Calibri" w:cs="Times New Roman"/>
                <w:sz w:val="24"/>
                <w:szCs w:val="24"/>
              </w:rPr>
            </w:pPr>
            <w:r>
              <w:rPr>
                <w:rFonts w:eastAsia="Times New Roman" w:cs="Times New Roman" w:ascii="Times New Roman" w:hAnsi="Times New Roman"/>
                <w:color w:val="000000"/>
                <w:kern w:val="0"/>
                <w:sz w:val="24"/>
                <w:szCs w:val="24"/>
                <w:lang w:val="ru-RU" w:eastAsia="ru-RU" w:bidi="ar-SA"/>
              </w:rPr>
              <w:t xml:space="preserve">3. </w:t>
            </w:r>
            <w:r>
              <w:rPr>
                <w:rFonts w:eastAsia="Calibri" w:cs="Times New Roman" w:ascii="Times New Roman" w:hAnsi="Times New Roman"/>
                <w:kern w:val="0"/>
                <w:sz w:val="24"/>
                <w:szCs w:val="24"/>
                <w:lang w:val="ru-RU" w:eastAsia="en-US" w:bidi="ar-SA"/>
              </w:rPr>
              <w:t>Цена договора о проведении капитального ремонта может быть увеличена по соглашению сторон в ходе его исполнения, но не более чем на 10 процентов в связи с пропорциональным увеличением объема оказания услуг и (или) выполнения работ.</w:t>
            </w:r>
          </w:p>
          <w:p>
            <w:pPr>
              <w:pStyle w:val="Normal"/>
              <w:widowControl/>
              <w:shd w:val="clear" w:color="auto" w:fill="FFFFFF" w:themeFill="background1"/>
              <w:suppressAutoHyphens w:val="true"/>
              <w:spacing w:lineRule="auto" w:line="240" w:before="0" w:after="0"/>
              <w:jc w:val="both"/>
              <w:rPr>
                <w:rStyle w:val="Style15"/>
                <w:rFonts w:ascii="Times New Roman" w:hAnsi="Times New Roman" w:eastAsia="Times New Roman" w:cs="Times New Roman"/>
                <w:color w:val="000000"/>
                <w:sz w:val="24"/>
                <w:szCs w:val="24"/>
                <w:lang w:eastAsia="ru-RU"/>
              </w:rPr>
            </w:pPr>
            <w:r>
              <w:rPr>
                <w:rFonts w:eastAsia="Calibri" w:cs="Times New Roman" w:ascii="Times New Roman" w:hAnsi="Times New Roman"/>
                <w:kern w:val="0"/>
                <w:sz w:val="24"/>
                <w:szCs w:val="24"/>
                <w:lang w:val="ru-RU" w:eastAsia="en-US" w:bidi="ar-SA"/>
              </w:rPr>
              <w:t>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4</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 работ</w:t>
            </w:r>
          </w:p>
        </w:tc>
        <w:tc>
          <w:tcPr>
            <w:tcW w:w="7371" w:type="dxa"/>
            <w:tcBorders/>
          </w:tcPr>
          <w:p>
            <w:pPr>
              <w:pStyle w:val="Normal"/>
              <w:widowControl/>
              <w:shd w:val="clear" w:color="auto" w:fill="FFFFFF" w:themeFill="background1"/>
              <w:suppressAutoHyphens w:val="true"/>
              <w:spacing w:lineRule="auto" w:line="240" w:before="0" w:after="0"/>
              <w:jc w:val="both"/>
              <w:rPr>
                <w:rStyle w:val="Style15"/>
                <w:rFonts w:ascii="Times New Roman" w:hAnsi="Times New Roman" w:eastAsia="Times New Roman" w:cs="Times New Roman"/>
                <w:sz w:val="22"/>
                <w:szCs w:val="22"/>
                <w:lang w:eastAsia="ru-RU"/>
              </w:rPr>
            </w:pPr>
            <w:r>
              <w:rPr>
                <w:rFonts w:eastAsia="Calibri" w:cs="Times New Roman" w:ascii="Times New Roman" w:hAnsi="Times New Roman"/>
                <w:kern w:val="0"/>
                <w:sz w:val="24"/>
                <w:szCs w:val="24"/>
                <w:lang w:val="ru-RU" w:eastAsia="en-US" w:bidi="ar-SA"/>
              </w:rPr>
              <w:t>Порядок и сроки оплаты работ по договору устанавливаются Заказчиком в документации о проведении электронного аукциона.</w:t>
            </w:r>
            <w:r>
              <w:rPr>
                <w:rFonts w:eastAsia="Calibri" w:cs="Times New Roman" w:ascii="Times New Roman" w:hAnsi="Times New Roman"/>
                <w:kern w:val="0"/>
                <w:sz w:val="24"/>
                <w:szCs w:val="24"/>
                <w:lang w:val="ru-RU" w:eastAsia="ru-RU" w:bidi="ar-SA"/>
              </w:rPr>
              <w:t xml:space="preserve"> При любом установленном договором порядке окончательная оплата работ по договору производится</w:t>
            </w:r>
            <w:r>
              <w:rPr>
                <w:rFonts w:eastAsia="Calibri" w:cs="Times New Roman"/>
                <w:kern w:val="0"/>
                <w:sz w:val="22"/>
                <w:szCs w:val="22"/>
                <w:lang w:val="ru-RU" w:eastAsia="en-US" w:bidi="ar-SA"/>
              </w:rPr>
              <w:t xml:space="preserve"> </w:t>
            </w:r>
            <w:r>
              <w:rPr>
                <w:rFonts w:eastAsia="Calibri" w:cs="Times New Roman" w:ascii="Times New Roman" w:hAnsi="Times New Roman"/>
                <w:kern w:val="0"/>
                <w:sz w:val="24"/>
                <w:szCs w:val="24"/>
                <w:lang w:val="ru-RU" w:eastAsia="ru-RU" w:bidi="ar-SA"/>
              </w:rPr>
              <w:t>за фактически выполненные работы на основании утверждённого комиссией, созданной в порядке п. 5 ч. 2 ст. 182 ЖК РФ, и согласованного в порядке, предусмотренном ч. 2 ст. 190 ЖК РФ, акта о приёмке оказанных услуг и (или) выполненных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5</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выполнения работ</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6</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приемки</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выполненных работ</w:t>
            </w:r>
          </w:p>
        </w:tc>
        <w:tc>
          <w:tcPr>
            <w:tcW w:w="7371" w:type="dxa"/>
            <w:tcBorders/>
          </w:tcPr>
          <w:p>
            <w:pPr>
              <w:pStyle w:val="ConsPlusNormal1"/>
              <w:suppressAutoHyphens w:val="true"/>
              <w:spacing w:before="0" w:after="0"/>
              <w:jc w:val="both"/>
              <w:rPr>
                <w:kern w:val="0"/>
                <w:lang w:val="ru-RU" w:bidi="ar-SA"/>
              </w:rPr>
            </w:pPr>
            <w:r>
              <w:rPr>
                <w:rStyle w:val="Style15"/>
                <w:rFonts w:cs="Times New Roman" w:ascii="Times New Roman" w:hAnsi="Times New Roman"/>
                <w:kern w:val="0"/>
                <w:sz w:val="24"/>
                <w:szCs w:val="24"/>
                <w:lang w:val="ru-RU" w:bidi="ar-SA"/>
              </w:rPr>
              <w:t>1. Порядок и сроки приемки выполненных работ  устанавливаются Заказчиком в документации о проведении электронного аукциона.</w:t>
            </w:r>
          </w:p>
          <w:p>
            <w:pPr>
              <w:pStyle w:val="ConsPlusNormal1"/>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2. Для проверки соответствия качества и объемов оказания услуг и (или) выполненных работ, установленных договором, Заказчик вправе привлекать независимых экспертов.</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7</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Место выполнения работ</w:t>
            </w:r>
          </w:p>
        </w:tc>
        <w:tc>
          <w:tcPr>
            <w:tcW w:w="7371" w:type="dxa"/>
            <w:tcBorders/>
            <w:vAlign w:val="center"/>
          </w:tcPr>
          <w:p>
            <w:pPr>
              <w:pStyle w:val="ConsPlusNormal1"/>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Место выполнения работ устанавливается Заказчиком в документации о проведении электронного аукциона в пределах</w:t>
            </w:r>
            <w:r>
              <w:rPr>
                <w:rStyle w:val="Style15"/>
                <w:rFonts w:cs="Times New Roman" w:ascii="Times New Roman" w:hAnsi="Times New Roman"/>
                <w:i/>
                <w:kern w:val="0"/>
                <w:u w:val="single"/>
                <w:lang w:val="ru-RU" w:bidi="ar-SA"/>
              </w:rPr>
              <w:t xml:space="preserve">    </w:t>
            </w:r>
            <w:r>
              <w:rPr>
                <w:rStyle w:val="Style15"/>
                <w:rFonts w:cs="Times New Roman" w:ascii="Times New Roman" w:hAnsi="Times New Roman"/>
                <w:i/>
                <w:kern w:val="0"/>
                <w:sz w:val="24"/>
                <w:szCs w:val="24"/>
                <w:u w:val="single"/>
                <w:lang w:val="ru-RU" w:bidi="ar-SA"/>
              </w:rPr>
              <w:t>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8</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Обеспечение исполнения договора</w:t>
            </w:r>
          </w:p>
        </w:tc>
        <w:tc>
          <w:tcPr>
            <w:tcW w:w="7371" w:type="dxa"/>
            <w:tcBorders/>
          </w:tcPr>
          <w:p>
            <w:pPr>
              <w:pStyle w:val="Normal"/>
              <w:widowControl/>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1. Исполнение обязательств по договору о проведении капитального ремонта обеспечивается:</w:t>
            </w:r>
          </w:p>
          <w:p>
            <w:pPr>
              <w:pStyle w:val="Normal"/>
              <w:widowControl/>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а) независимой гарантией, выданной в соответствии с требованиями, предусмотренными частью 1 статьи 45 Федерального закона «О контрактной системе в сфере закупок товаров, работ, услуг для обеспечения государственных и муниципальных нужд» (далее – независимая гарантия);</w:t>
            </w:r>
          </w:p>
          <w:p>
            <w:pPr>
              <w:pStyle w:val="Normal"/>
              <w:widowControl w:val="false"/>
              <w:suppressAutoHyphens w:val="tru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б) обеспечительным платежом.</w:t>
            </w:r>
          </w:p>
          <w:p>
            <w:pPr>
              <w:pStyle w:val="Normal"/>
              <w:widowControl/>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pPr>
              <w:pStyle w:val="Normal"/>
              <w:widowControl/>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3. 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5. 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 более процентов ниже начальной (максимальной) цены договора.</w:t>
            </w:r>
          </w:p>
          <w:p>
            <w:pPr>
              <w:pStyle w:val="ConsPlusNormal1"/>
              <w:tabs>
                <w:tab w:val="clear" w:pos="708"/>
                <w:tab w:val="left" w:pos="608"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6. 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организации, выдавшей независимую гарантию (далее - гарант), на условиях, определенных гражданским законодательством, и должна соответствовать следующим требованиям:</w:t>
            </w:r>
          </w:p>
          <w:p>
            <w:pPr>
              <w:pStyle w:val="ConsPlusNormal1"/>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быть безотзывной;</w:t>
            </w:r>
          </w:p>
          <w:p>
            <w:pPr>
              <w:pStyle w:val="Normal"/>
              <w:widowControl/>
              <w:suppressAutoHyphens w:val="true"/>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kern w:val="0"/>
                <w:sz w:val="24"/>
                <w:szCs w:val="24"/>
                <w:lang w:val="ru-RU" w:eastAsia="en-US" w:bidi="ar-SA"/>
              </w:rPr>
              <w:t>б) требование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pPr>
              <w:pStyle w:val="ConsPlusNormal1"/>
              <w:tabs>
                <w:tab w:val="clear" w:pos="708"/>
                <w:tab w:val="left" w:pos="601" w:leader="none"/>
              </w:tabs>
              <w:suppressAutoHyphens w:val="true"/>
              <w:spacing w:before="0" w:after="0"/>
              <w:jc w:val="both"/>
              <w:rPr>
                <w:rFonts w:ascii="Times New Roman" w:hAnsi="Times New Roman" w:eastAsia="Calibri" w:cs="Times New Roman"/>
                <w:color w:val="FF0000"/>
                <w:sz w:val="24"/>
                <w:szCs w:val="24"/>
                <w:lang w:eastAsia="en-US"/>
              </w:rPr>
            </w:pPr>
            <w:r>
              <w:rPr>
                <w:rFonts w:eastAsia="Calibri" w:cs="Times New Roman" w:ascii="Times New Roman" w:hAnsi="Times New Roman"/>
                <w:kern w:val="0"/>
                <w:sz w:val="24"/>
                <w:szCs w:val="24"/>
                <w:lang w:val="ru-RU" w:eastAsia="en-US" w:bidi="ar-SA"/>
              </w:rPr>
              <w:t>в) срок действия независимой гарантии должен превышать срок оказания услуг и (или) выполнения работ по договору о проведении капитального ремонта не менее чем на 60 дней.</w:t>
            </w:r>
          </w:p>
          <w:p>
            <w:pPr>
              <w:pStyle w:val="ConsPlusNormal1"/>
              <w:tabs>
                <w:tab w:val="clear" w:pos="708"/>
                <w:tab w:val="left" w:pos="601" w:leader="none"/>
              </w:tabs>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 xml:space="preserve">7. В </w:t>
            </w:r>
            <w:r>
              <w:rPr>
                <w:rFonts w:cs="Times New Roman" w:ascii="Times New Roman" w:hAnsi="Times New Roman"/>
                <w:kern w:val="0"/>
                <w:sz w:val="24"/>
                <w:szCs w:val="24"/>
                <w:lang w:val="ru-RU" w:bidi="ar-SA"/>
              </w:rPr>
              <w:t>документации о проведении электронного аукциона</w:t>
            </w:r>
            <w:r>
              <w:rPr>
                <w:rStyle w:val="Style15"/>
                <w:rFonts w:cs="Times New Roman" w:ascii="Times New Roman" w:hAnsi="Times New Roman"/>
                <w:kern w:val="0"/>
                <w:sz w:val="24"/>
                <w:szCs w:val="24"/>
                <w:lang w:val="ru-RU" w:bidi="ar-SA"/>
              </w:rPr>
              <w:t xml:space="preserve"> Заказчиком могут быть установлены дополнительные требования к обеспечению исполнения договора.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9</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Гарантийный срок</w:t>
            </w:r>
          </w:p>
        </w:tc>
        <w:tc>
          <w:tcPr>
            <w:tcW w:w="7371" w:type="dxa"/>
            <w:tcBorders/>
          </w:tcPr>
          <w:p>
            <w:pPr>
              <w:pStyle w:val="ConsPlusNormal1"/>
              <w:tabs>
                <w:tab w:val="clear" w:pos="708"/>
                <w:tab w:val="left" w:pos="608" w:leader="none"/>
              </w:tabs>
              <w:suppressAutoHyphens w:val="true"/>
              <w:spacing w:before="0" w:after="0"/>
              <w:ind w:left="41"/>
              <w:jc w:val="both"/>
              <w:rPr>
                <w:rFonts w:ascii="Times New Roman" w:hAnsi="Times New Roman" w:cs="Times New Roman"/>
                <w:sz w:val="24"/>
                <w:szCs w:val="24"/>
              </w:rPr>
            </w:pPr>
            <w:r>
              <w:rPr>
                <w:rFonts w:cs="Times New Roman" w:ascii="Times New Roman" w:hAnsi="Times New Roman"/>
                <w:kern w:val="0"/>
                <w:sz w:val="24"/>
                <w:szCs w:val="24"/>
                <w:lang w:val="ru-RU" w:bidi="ar-SA"/>
              </w:rPr>
              <w:t>1. Условия о гарантийном сроке определяются Заказчиком в документации о проведении электронного аукциона.</w:t>
            </w:r>
          </w:p>
          <w:p>
            <w:pPr>
              <w:pStyle w:val="ConsPlusNormal1"/>
              <w:tabs>
                <w:tab w:val="clear" w:pos="708"/>
                <w:tab w:val="left" w:pos="608" w:leader="none"/>
              </w:tabs>
              <w:suppressAutoHyphens w:val="true"/>
              <w:spacing w:before="0" w:after="0"/>
              <w:ind w:left="41"/>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Срок предоставления гарантий на выполненные работы не может быть менее 5 лет со дня подписания соответствующего акта о приемке выполненных работ.</w:t>
            </w:r>
          </w:p>
        </w:tc>
      </w:tr>
      <w:tr>
        <w:trPr>
          <w:trHeight w:val="1137" w:hRule="atLeast"/>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10</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Ответственность Заказчика и подрядчика</w:t>
            </w:r>
          </w:p>
        </w:tc>
        <w:tc>
          <w:tcPr>
            <w:tcW w:w="7371" w:type="dxa"/>
            <w:tcBorders/>
          </w:tcPr>
          <w:p>
            <w:pPr>
              <w:pStyle w:val="ConsPlusNormal1"/>
              <w:tabs>
                <w:tab w:val="clear" w:pos="708"/>
                <w:tab w:val="left" w:pos="600"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заключения договора</w:t>
            </w:r>
          </w:p>
        </w:tc>
        <w:tc>
          <w:tcPr>
            <w:tcW w:w="7371" w:type="dxa"/>
            <w:tcBorders/>
          </w:tcPr>
          <w:p>
            <w:pPr>
              <w:pStyle w:val="ConsPlusNormal1"/>
              <w:tabs>
                <w:tab w:val="clear" w:pos="708"/>
                <w:tab w:val="left" w:pos="750"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Договор на выполнение работ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 № 615 (далее – Положение).</w:t>
            </w:r>
          </w:p>
          <w:p>
            <w:pPr>
              <w:pStyle w:val="ConsPlusNormal1"/>
              <w:tabs>
                <w:tab w:val="clear" w:pos="708"/>
                <w:tab w:val="left" w:pos="600" w:leader="none"/>
              </w:tabs>
              <w:suppressAutoHyphens w:val="true"/>
              <w:spacing w:before="0" w:after="0"/>
              <w:ind w:left="33"/>
              <w:jc w:val="both"/>
              <w:rPr>
                <w:rFonts w:ascii="Times New Roman" w:hAnsi="Times New Roman" w:cs="Times New Roman"/>
                <w:sz w:val="24"/>
                <w:szCs w:val="24"/>
              </w:rPr>
            </w:pPr>
            <w:r>
              <w:rPr>
                <w:rFonts w:cs="Times New Roman" w:ascii="Times New Roman" w:hAnsi="Times New Roman"/>
                <w:kern w:val="0"/>
                <w:sz w:val="24"/>
                <w:szCs w:val="24"/>
                <w:lang w:val="ru-RU" w:bidi="ar-SA"/>
              </w:rPr>
              <w:t>2. Порядок заключения договора определяется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Другие существенные условия</w:t>
            </w:r>
          </w:p>
        </w:tc>
        <w:tc>
          <w:tcPr>
            <w:tcW w:w="7371" w:type="dxa"/>
            <w:tcBorders/>
          </w:tcPr>
          <w:p>
            <w:pPr>
              <w:pStyle w:val="Normal"/>
              <w:widowControl/>
              <w:tabs>
                <w:tab w:val="clear" w:pos="708"/>
                <w:tab w:val="left" w:pos="571" w:leader="none"/>
              </w:tabs>
              <w:suppressAutoHyphens w:val="true"/>
              <w:spacing w:lineRule="auto" w:line="240" w:before="0" w:after="0"/>
              <w:jc w:val="both"/>
              <w:rPr>
                <w:rFonts w:ascii="Times New Roman" w:hAnsi="Times New Roman" w:eastAsia="Times New Roman" w:cs="Times New Roman"/>
                <w:sz w:val="24"/>
                <w:szCs w:val="24"/>
              </w:rPr>
            </w:pPr>
            <w:r>
              <w:rPr>
                <w:rFonts w:eastAsia="Calibri" w:cs="Times New Roman" w:ascii="Times New Roman" w:hAnsi="Times New Roman"/>
                <w:kern w:val="0"/>
                <w:sz w:val="24"/>
                <w:szCs w:val="24"/>
                <w:lang w:val="ru-RU" w:eastAsia="en-US" w:bidi="ar-SA"/>
              </w:rPr>
              <w:t>1. Предмет договора, место проведения работ, виды работ не могут изменять</w:t>
            </w:r>
            <w:r>
              <w:rPr>
                <w:rFonts w:eastAsia="Times New Roman" w:cs="Times New Roman" w:ascii="Times New Roman" w:hAnsi="Times New Roman"/>
                <w:kern w:val="0"/>
                <w:sz w:val="24"/>
                <w:szCs w:val="24"/>
                <w:lang w:val="ru-RU" w:eastAsia="en-US" w:bidi="ar-SA"/>
              </w:rPr>
              <w:t xml:space="preserve">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pPr>
              <w:pStyle w:val="Normal"/>
              <w:widowControl w:val="false"/>
              <w:tabs>
                <w:tab w:val="clear" w:pos="708"/>
                <w:tab w:val="left" w:pos="571" w:leader="none"/>
              </w:tabs>
              <w:suppressAutoHyphens w:val="tru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pPr>
              <w:pStyle w:val="Normal"/>
              <w:widowControl w:val="false"/>
              <w:tabs>
                <w:tab w:val="clear" w:pos="708"/>
                <w:tab w:val="left" w:pos="571" w:leader="none"/>
              </w:tabs>
              <w:suppressAutoHyphens w:val="tru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б) недопуск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pPr>
              <w:pStyle w:val="Normal"/>
              <w:widowControl w:val="false"/>
              <w:tabs>
                <w:tab w:val="clear" w:pos="708"/>
                <w:tab w:val="left" w:pos="571" w:leader="none"/>
              </w:tabs>
              <w:suppressAutoHyphens w:val="tru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pPr>
              <w:pStyle w:val="ConsPlusNormal1"/>
              <w:tabs>
                <w:tab w:val="clear" w:pos="708"/>
                <w:tab w:val="left" w:pos="571" w:leader="none"/>
              </w:tabs>
              <w:suppressAutoHyphens w:val="true"/>
              <w:spacing w:before="0" w:after="0"/>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426" w:leader="none"/>
        </w:tabs>
        <w:spacing w:lineRule="auto" w:line="240" w:before="0" w:after="0"/>
        <w:contextualSpacing/>
        <w:rPr>
          <w:rFonts w:ascii="Times New Roman" w:hAnsi="Times New Roman" w:cs="Times New Roman"/>
          <w:b/>
          <w:sz w:val="28"/>
          <w:szCs w:val="28"/>
        </w:rPr>
      </w:pPr>
      <w:r>
        <w:rPr>
          <w:rFonts w:cs="Times New Roman" w:ascii="Times New Roman" w:hAnsi="Times New Roman"/>
          <w:b/>
          <w:sz w:val="28"/>
          <w:szCs w:val="28"/>
        </w:rPr>
        <w:t>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2">
        <w:r>
          <w:rPr>
            <w:rStyle w:val="Hyperlink"/>
            <w:rFonts w:cs="Times New Roman" w:ascii="Arial" w:hAnsi="Arial"/>
            <w:color w:val="auto"/>
            <w:sz w:val="28"/>
            <w:szCs w:val="28"/>
          </w:rPr>
          <w:t>http://kaprem37.ru/</w:t>
        </w:r>
      </w:hyperlink>
      <w:r>
        <w:rPr>
          <w:rFonts w:cs="Times New Roman" w:ascii="Times New Roman" w:hAnsi="Times New Roman"/>
          <w:sz w:val="28"/>
          <w:szCs w:val="28"/>
        </w:rPr>
        <w:t xml:space="preserve"> в разделе</w:t>
      </w:r>
      <w:r>
        <w:rPr>
          <w:rStyle w:val="Style15"/>
          <w:rFonts w:cs="Times New Roman" w:ascii="Times New Roman" w:hAnsi="Times New Roman"/>
          <w:sz w:val="28"/>
          <w:szCs w:val="28"/>
        </w:rPr>
        <w:t xml:space="preserve"> «Региональная программа»</w:t>
      </w:r>
      <w:r>
        <w:rPr>
          <w:rFonts w:cs="Times New Roman" w:ascii="Times New Roman" w:hAnsi="Times New Roman"/>
          <w:sz w:val="28"/>
          <w:szCs w:val="28"/>
        </w:rPr>
        <w:t>.</w:t>
      </w:r>
    </w:p>
    <w:p>
      <w:pPr>
        <w:pStyle w:val="ListParagraph"/>
        <w:numPr>
          <w:ilvl w:val="0"/>
          <w:numId w:val="7"/>
        </w:numPr>
        <w:tabs>
          <w:tab w:val="clear" w:pos="708"/>
          <w:tab w:val="left" w:pos="284" w:leader="none"/>
        </w:tabs>
        <w:spacing w:lineRule="auto" w:line="240" w:before="0" w:after="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val="false"/>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 проведении предварительного отбора по предмету последующего электронного аукциона</w:t>
      </w:r>
      <w:r>
        <w:rPr>
          <w:rFonts w:cs="Times New Roman" w:ascii="Times New Roman" w:hAnsi="Times New Roman"/>
          <w:i/>
          <w:sz w:val="28"/>
          <w:szCs w:val="28"/>
          <w:u w:val="single"/>
        </w:rPr>
        <w:t xml:space="preserve"> </w:t>
      </w:r>
      <w:r>
        <w:rPr>
          <w:rStyle w:val="Style15"/>
          <w:rFonts w:cs="Times New Roman" w:ascii="Times New Roman" w:hAnsi="Times New Roman"/>
          <w:i/>
          <w:sz w:val="28"/>
          <w:szCs w:val="28"/>
          <w:u w:val="single"/>
        </w:rPr>
        <w:t>выполнение работ по оценке соответствия лифтов требованиям технического регламента Таможенного союза 011/2011 «Безопасность лифтов» (ТР ТС 011/2011), утвержденного решением Комиссии Таможенного союза от 18 октября 2011 г. № 824 «О принятии технического регламента Таможенного союза «Безопасность лифтов»</w:t>
      </w:r>
      <w:r>
        <w:rPr>
          <w:rStyle w:val="Style15"/>
          <w:rFonts w:cs="Times New Roman" w:ascii="Times New Roman" w:hAnsi="Times New Roman"/>
          <w:i/>
          <w:sz w:val="24"/>
          <w:szCs w:val="24"/>
          <w:u w:val="single"/>
        </w:rPr>
        <w:t xml:space="preserve"> </w:t>
      </w:r>
      <w:r>
        <w:rPr>
          <w:rFonts w:cs="Times New Roman" w:ascii="Times New Roman" w:hAnsi="Times New Roman"/>
          <w:sz w:val="28"/>
          <w:szCs w:val="28"/>
        </w:rPr>
        <w:t>устанавливаются следующие требования к его участникам (далее – Участник):</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а) наличие у участника предварительного отбора аттестата аккредитации, выданного федеральным органом исполнительной власти, осуществляющим функции по формированию единой национальной системы аккредитации и осуществлению контроля за деятельностью аккредитованных лиц, с приложением, определяющим область аккредитации, которая позволяет выполнять работы, связанные с проверками, испытаниями, измерениями при проведении обследования лифтов в соответствии с требованиями технического регламента;</w:t>
      </w:r>
    </w:p>
    <w:p>
      <w:pPr>
        <w:pStyle w:val="Normal"/>
        <w:spacing w:lineRule="auto" w:line="240" w:before="0" w:after="0"/>
        <w:ind w:firstLine="709"/>
        <w:jc w:val="both"/>
        <w:rPr>
          <w:rFonts w:ascii="Times New Roman" w:hAnsi="Times New Roman" w:eastAsia="Calibri" w:cs="Times New Roman"/>
          <w:sz w:val="28"/>
          <w:szCs w:val="28"/>
        </w:rPr>
      </w:pPr>
      <w:r>
        <w:rPr>
          <w:rFonts w:cs="Times New Roman" w:ascii="Times New Roman" w:hAnsi="Times New Roman"/>
          <w:sz w:val="28"/>
          <w:szCs w:val="28"/>
        </w:rPr>
        <w:t xml:space="preserve">б) </w:t>
      </w:r>
      <w:r>
        <w:rPr>
          <w:rFonts w:eastAsia="Calibri" w:cs="Times New Roman" w:ascii="Times New Roman" w:hAnsi="Times New Roman"/>
          <w:sz w:val="28"/>
          <w:szCs w:val="28"/>
        </w:rPr>
        <w:t>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в)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г)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д) неприостановление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е)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ж)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з)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и)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к)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л) наличие у Участника предварительного отбора в штате минимального количества квалифицированного персонала:</w:t>
      </w:r>
    </w:p>
    <w:tbl>
      <w:tblPr>
        <w:tblW w:w="8640"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06"/>
        <w:gridCol w:w="2127"/>
        <w:gridCol w:w="1841"/>
        <w:gridCol w:w="2408"/>
        <w:gridCol w:w="1558"/>
      </w:tblGrid>
      <w:tr>
        <w:trPr>
          <w:trHeight w:val="906" w:hRule="atLeast"/>
        </w:trPr>
        <w:tc>
          <w:tcPr>
            <w:tcW w:w="706"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b/>
                <w:sz w:val="24"/>
                <w:szCs w:val="24"/>
              </w:rPr>
            </w:pPr>
            <w:r>
              <w:rPr>
                <w:b/>
                <w:sz w:val="24"/>
                <w:szCs w:val="24"/>
              </w:rPr>
              <w:t xml:space="preserve">№ </w:t>
            </w:r>
            <w:r>
              <w:rPr>
                <w:b/>
                <w:sz w:val="24"/>
                <w:szCs w:val="24"/>
              </w:rPr>
              <w:t>п/п</w:t>
            </w:r>
          </w:p>
        </w:tc>
        <w:tc>
          <w:tcPr>
            <w:tcW w:w="2127"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b/>
                <w:sz w:val="24"/>
                <w:szCs w:val="24"/>
              </w:rPr>
            </w:pPr>
            <w:r>
              <w:rPr>
                <w:b/>
                <w:sz w:val="24"/>
                <w:szCs w:val="24"/>
              </w:rPr>
              <w:t>Должность</w:t>
            </w:r>
          </w:p>
        </w:tc>
        <w:tc>
          <w:tcPr>
            <w:tcW w:w="1841"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b/>
                <w:sz w:val="24"/>
                <w:szCs w:val="24"/>
              </w:rPr>
            </w:pPr>
            <w:r>
              <w:rPr>
                <w:b/>
                <w:sz w:val="24"/>
                <w:szCs w:val="24"/>
              </w:rPr>
              <w:t>Образование</w:t>
            </w:r>
          </w:p>
        </w:tc>
        <w:tc>
          <w:tcPr>
            <w:tcW w:w="2408"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b/>
                <w:sz w:val="24"/>
                <w:szCs w:val="24"/>
              </w:rPr>
            </w:pPr>
            <w:r>
              <w:rPr>
                <w:b/>
                <w:sz w:val="24"/>
                <w:szCs w:val="24"/>
              </w:rPr>
              <w:t>Стаж работы по специальности**</w:t>
            </w:r>
          </w:p>
        </w:tc>
        <w:tc>
          <w:tcPr>
            <w:tcW w:w="1558"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b/>
                <w:sz w:val="24"/>
                <w:szCs w:val="24"/>
              </w:rPr>
            </w:pPr>
            <w:r>
              <w:rPr>
                <w:b/>
                <w:sz w:val="24"/>
                <w:szCs w:val="24"/>
              </w:rPr>
              <w:t>Количество человек, не менее</w:t>
            </w:r>
          </w:p>
        </w:tc>
      </w:tr>
      <w:tr>
        <w:trPr>
          <w:trHeight w:val="1606" w:hRule="atLeast"/>
        </w:trPr>
        <w:tc>
          <w:tcPr>
            <w:tcW w:w="706"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1*</w:t>
            </w:r>
          </w:p>
        </w:tc>
        <w:tc>
          <w:tcPr>
            <w:tcW w:w="2127"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Индивидуальный предприниматель/</w:t>
              <w:br/>
              <w:t>руководитель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vertAlign w:val="superscript"/>
              </w:rPr>
            </w:pPr>
            <w:r>
              <w:rPr>
                <w:sz w:val="24"/>
                <w:szCs w:val="24"/>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1</w:t>
            </w:r>
          </w:p>
        </w:tc>
      </w:tr>
      <w:tr>
        <w:trPr>
          <w:trHeight w:val="2111" w:hRule="atLeast"/>
        </w:trPr>
        <w:tc>
          <w:tcPr>
            <w:tcW w:w="706"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2</w:t>
            </w:r>
          </w:p>
        </w:tc>
        <w:tc>
          <w:tcPr>
            <w:tcW w:w="2127"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Работник индивидуального предпринимателя/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Высшее образование соответствующего профиля</w:t>
            </w:r>
          </w:p>
          <w:p>
            <w:pPr>
              <w:pStyle w:val="21"/>
              <w:spacing w:lineRule="auto" w:line="240" w:before="0" w:after="0"/>
              <w:jc w:val="both"/>
              <w:rPr>
                <w:sz w:val="24"/>
                <w:szCs w:val="24"/>
              </w:rPr>
            </w:pPr>
            <w:r>
              <w:rPr>
                <w:sz w:val="24"/>
                <w:szCs w:val="24"/>
              </w:rPr>
            </w:r>
          </w:p>
        </w:tc>
        <w:tc>
          <w:tcPr>
            <w:tcW w:w="2408"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21"/>
              <w:spacing w:lineRule="auto" w:line="240" w:before="0" w:after="0"/>
              <w:jc w:val="both"/>
              <w:rPr>
                <w:sz w:val="24"/>
                <w:szCs w:val="24"/>
              </w:rPr>
            </w:pPr>
            <w:r>
              <w:rPr>
                <w:sz w:val="24"/>
                <w:szCs w:val="24"/>
              </w:rPr>
              <w:t>2</w:t>
            </w:r>
          </w:p>
          <w:p>
            <w:pPr>
              <w:pStyle w:val="21"/>
              <w:spacing w:lineRule="auto" w:line="240" w:before="0" w:after="0"/>
              <w:jc w:val="both"/>
              <w:rPr>
                <w:sz w:val="24"/>
                <w:szCs w:val="24"/>
              </w:rPr>
            </w:pPr>
            <w:r>
              <w:rPr>
                <w:sz w:val="24"/>
                <w:szCs w:val="24"/>
              </w:rPr>
              <w:t>по основному месту работы</w:t>
            </w:r>
          </w:p>
        </w:tc>
      </w:tr>
    </w:tbl>
    <w:p>
      <w:pPr>
        <w:pStyle w:val="ConsPlusNormal1"/>
        <w:tabs>
          <w:tab w:val="clear" w:pos="708"/>
          <w:tab w:val="left" w:pos="993" w:leader="none"/>
        </w:tabs>
        <w:jc w:val="both"/>
        <w:rPr>
          <w:rFonts w:ascii="Times New Roman" w:hAnsi="Times New Roman" w:cs="Times New Roman"/>
          <w:i/>
          <w:i/>
          <w:sz w:val="18"/>
          <w:szCs w:val="18"/>
        </w:rPr>
      </w:pPr>
      <w:r>
        <w:rPr>
          <w:rFonts w:cs="Times New Roman" w:ascii="Times New Roman" w:hAnsi="Times New Roman"/>
          <w:i/>
          <w:sz w:val="18"/>
          <w:szCs w:val="18"/>
        </w:rPr>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b/>
          <w:sz w:val="24"/>
          <w:szCs w:val="24"/>
        </w:rPr>
        <w:t>*</w:t>
      </w:r>
      <w:r>
        <w:rPr>
          <w:rFonts w:cs="Times New Roman" w:ascii="Times New Roman" w:hAnsi="Times New Roman"/>
          <w:i/>
          <w:sz w:val="18"/>
          <w:szCs w:val="18"/>
        </w:rPr>
        <w:t xml:space="preserve"> - </w:t>
      </w:r>
      <w:r>
        <w:rPr>
          <w:rFonts w:cs="Times New Roman" w:ascii="Times New Roman" w:hAnsi="Times New Roman"/>
          <w:sz w:val="18"/>
          <w:szCs w:val="18"/>
        </w:rPr>
        <w:t>Информация и документы представляются в случае, если индивидуальный предприниматель/руководитель юридического лица самостоятельно организуют оказание услуг и (или) выполнение работ по предмету предварительного отбора.</w:t>
      </w:r>
    </w:p>
    <w:p>
      <w:pPr>
        <w:pStyle w:val="21"/>
        <w:spacing w:lineRule="auto" w:line="240" w:before="0" w:after="0"/>
        <w:jc w:val="both"/>
        <w:rPr>
          <w:b/>
          <w:sz w:val="16"/>
          <w:szCs w:val="16"/>
        </w:rPr>
      </w:pPr>
      <w:r>
        <w:rPr>
          <w:sz w:val="24"/>
          <w:szCs w:val="24"/>
        </w:rPr>
        <w:t xml:space="preserve">** </w:t>
      </w:r>
      <w:r>
        <w:rPr>
          <w:sz w:val="16"/>
          <w:szCs w:val="16"/>
        </w:rPr>
        <w:t>Стаж работы по специальности считается с момента начала трудовой деятельности в соответствии с данными трудовой книжки.</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м)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н)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пункта 66 Положения, в течение года до даты рассмотрения заявки на участие в предварительном отборе комиссией по проведению предварительного отбора. 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2"/>
        </w:numPr>
        <w:tabs>
          <w:tab w:val="clear" w:pos="708"/>
          <w:tab w:val="left" w:pos="993" w:leader="none"/>
        </w:tabs>
        <w:spacing w:lineRule="auto" w:line="240" w:before="0" w:after="0"/>
        <w:ind w:firstLine="709" w:left="0"/>
        <w:contextualSpacing/>
        <w:jc w:val="both"/>
        <w:rPr>
          <w:rFonts w:ascii="Times New Roman" w:hAnsi="Times New Roman" w:cs="Times New Roman"/>
          <w:sz w:val="28"/>
          <w:szCs w:val="28"/>
        </w:rPr>
      </w:pPr>
      <w:r>
        <w:rPr>
          <w:rFonts w:cs="Times New Roman" w:ascii="Times New Roman" w:hAnsi="Times New Roman"/>
          <w:sz w:val="28"/>
          <w:szCs w:val="28"/>
        </w:rPr>
        <w:t xml:space="preserve">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 </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 xml:space="preserve">Участник предварительного отбора должен подписать Заявку усиленной неквалифицированной электронной подписью. </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В состав Заявки включаются следующие документы:</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 xml:space="preserve">б) 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в) копии учредительных документов участника предварительного отбора - для юридического лица;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д) документ, подтверждающий полномочия лица на осуществление действий от имени участника предварительного отбора;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е) копия аттестата аккредитации, выданного федеральным органом исполнительной власти, осуществляющим функции по формированию единой национальной системы аккредитации и осуществлению контроля за деятельностью аккредитованных лиц, с приложением, определяющим область аккредитации, которая позволяет выполнять работы, связанные с проверками, испытаниями, измерениями при проведении обследования лифтов в соответствии с требованиями технического регламента;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ж)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Style w:val="Style15"/>
          <w:rFonts w:cs="Times New Roman" w:ascii="Times New Roman" w:hAnsi="Times New Roman"/>
          <w:sz w:val="28"/>
          <w:szCs w:val="28"/>
        </w:rPr>
        <w:t>з)</w:t>
      </w:r>
      <w:r>
        <w:rPr>
          <w:rFonts w:eastAsia="Calibri" w:cs="Times New Roman" w:ascii="Times New Roman" w:hAnsi="Times New Roman"/>
          <w:sz w:val="28"/>
          <w:szCs w:val="28"/>
        </w:rPr>
        <w:t xml:space="preserve"> копия расчета по страховым взносам, представляемого плательщиками страховых взносов,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и) копия штатного расписания;</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 xml:space="preserve">к) штатно-списочный состав сотрудников, подготовленный по форме приложения № 2 к Документации о проведении предварительного отбора; </w:t>
      </w:r>
    </w:p>
    <w:p>
      <w:pPr>
        <w:pStyle w:val="Normal"/>
        <w:tabs>
          <w:tab w:val="clear" w:pos="708"/>
          <w:tab w:val="left" w:pos="993" w:leader="none"/>
        </w:tabs>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л) копии трудовых книжек и (или) сведения о трудовой деятельности, предусмотренные статьей 66.1 Трудового кодекса Российской Федерации, копии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«л» Требований к участникам предварительного отбора;</w:t>
      </w:r>
    </w:p>
    <w:p>
      <w:pPr>
        <w:pStyle w:val="Normal"/>
        <w:spacing w:lineRule="auto" w:line="240" w:before="0" w:after="0"/>
        <w:ind w:firstLine="709"/>
        <w:jc w:val="both"/>
        <w:rPr>
          <w:rFonts w:ascii="Times New Roman" w:hAnsi="Times New Roman" w:eastAsia="Calibri" w:cs="Times New Roman"/>
          <w:sz w:val="28"/>
          <w:szCs w:val="28"/>
        </w:rPr>
      </w:pPr>
      <w:r>
        <w:rPr>
          <w:rFonts w:eastAsia="Calibri" w:cs="Times New Roman" w:ascii="Times New Roman" w:hAnsi="Times New Roman"/>
          <w:sz w:val="28"/>
          <w:szCs w:val="28"/>
        </w:rPr>
        <w:t>м) копии не менее 3 исполненных контрактов и (или) договоров, подтверждающих наличие у участника предварительного отбора, 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pPr>
        <w:pStyle w:val="Normal"/>
        <w:spacing w:lineRule="auto" w:line="240" w:before="0" w:after="0"/>
        <w:ind w:firstLine="709"/>
        <w:jc w:val="both"/>
        <w:rPr>
          <w:rFonts w:ascii="Times New Roman" w:hAnsi="Times New Roman" w:eastAsia="Calibri" w:cs="Times New Roman"/>
          <w:i/>
          <w:i/>
          <w:sz w:val="28"/>
          <w:szCs w:val="28"/>
        </w:rPr>
      </w:pPr>
      <w:r>
        <w:rPr>
          <w:rFonts w:eastAsia="Calibri" w:cs="Times New Roman" w:ascii="Times New Roman" w:hAnsi="Times New Roman"/>
          <w:sz w:val="28"/>
          <w:szCs w:val="28"/>
        </w:rPr>
        <w:t>н) согласие на обработку персональных данных в соответствии с Федеральным законом «О персональных данных» каждого работника, персональные данные которого содержатся в заявке на участие в предварительном отборе.</w:t>
      </w:r>
    </w:p>
    <w:p>
      <w:pPr>
        <w:pStyle w:val="Normal"/>
        <w:tabs>
          <w:tab w:val="clear" w:pos="708"/>
          <w:tab w:val="left" w:pos="993" w:leader="none"/>
        </w:tabs>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4"/>
          <w:szCs w:val="24"/>
        </w:rPr>
      </w:pPr>
      <w:r>
        <w:rPr>
          <w:rFonts w:cs="Times New Roman" w:ascii="Times New Roman" w:hAnsi="Times New Roman"/>
          <w:b/>
          <w:sz w:val="28"/>
          <w:szCs w:val="28"/>
        </w:rPr>
        <w:t>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Регистрация на электронной площадке, а также участие в предварительном отборе осуществляется без взимания платы с Участника.</w:t>
      </w:r>
    </w:p>
    <w:p>
      <w:pPr>
        <w:pStyle w:val="Normal"/>
        <w:widowControl w:val="false"/>
        <w:numPr>
          <w:ilvl w:val="0"/>
          <w:numId w:val="3"/>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Участник в рамках извещения о проведении предварительного отбора </w:t>
      </w:r>
      <w:r>
        <w:rPr>
          <w:rFonts w:eastAsia="Times New Roman" w:cs="Times New Roman" w:ascii="Times New Roman" w:hAnsi="Times New Roman"/>
          <w:b/>
          <w:sz w:val="28"/>
          <w:szCs w:val="28"/>
          <w:lang w:eastAsia="ru-RU"/>
        </w:rPr>
        <w:t>№ ПО.е.26.</w:t>
      </w:r>
      <w:r>
        <w:rPr>
          <w:rFonts w:eastAsia="Times New Roman" w:cs="Times New Roman" w:ascii="Times New Roman" w:hAnsi="Times New Roman"/>
          <w:b/>
          <w:sz w:val="28"/>
          <w:szCs w:val="28"/>
          <w:lang w:eastAsia="ru-RU"/>
        </w:rPr>
        <w:t>3</w:t>
      </w:r>
      <w:r>
        <w:rPr>
          <w:rFonts w:eastAsia="Times New Roman" w:cs="Times New Roman" w:ascii="Times New Roman" w:hAnsi="Times New Roman"/>
          <w:b/>
          <w:sz w:val="28"/>
          <w:szCs w:val="28"/>
          <w:lang w:eastAsia="ru-RU"/>
        </w:rPr>
        <w:t xml:space="preserve"> от 2</w:t>
      </w:r>
      <w:r>
        <w:rPr>
          <w:rFonts w:eastAsia="Times New Roman" w:cs="Times New Roman" w:ascii="Times New Roman" w:hAnsi="Times New Roman"/>
          <w:b/>
          <w:sz w:val="28"/>
          <w:szCs w:val="28"/>
          <w:lang w:eastAsia="ru-RU"/>
        </w:rPr>
        <w:t>5</w:t>
      </w:r>
      <w:r>
        <w:rPr>
          <w:rFonts w:eastAsia="Times New Roman" w:cs="Times New Roman" w:ascii="Times New Roman" w:hAnsi="Times New Roman"/>
          <w:b/>
          <w:sz w:val="28"/>
          <w:szCs w:val="28"/>
          <w:lang w:eastAsia="ru-RU"/>
        </w:rPr>
        <w:t>.0</w:t>
      </w:r>
      <w:r>
        <w:rPr>
          <w:rFonts w:eastAsia="Times New Roman" w:cs="Times New Roman" w:ascii="Times New Roman" w:hAnsi="Times New Roman"/>
          <w:b/>
          <w:sz w:val="28"/>
          <w:szCs w:val="28"/>
          <w:lang w:eastAsia="ru-RU"/>
        </w:rPr>
        <w:t>6</w:t>
      </w:r>
      <w:r>
        <w:rPr>
          <w:rFonts w:eastAsia="Times New Roman" w:cs="Times New Roman" w:ascii="Times New Roman" w:hAnsi="Times New Roman"/>
          <w:b/>
          <w:sz w:val="28"/>
          <w:szCs w:val="28"/>
          <w:lang w:eastAsia="ru-RU"/>
        </w:rPr>
        <w:t>.2026</w:t>
      </w:r>
      <w:r>
        <w:rPr>
          <w:rFonts w:eastAsia="Times New Roman" w:cs="Times New Roman" w:ascii="Times New Roman" w:hAnsi="Times New Roman"/>
          <w:sz w:val="28"/>
          <w:szCs w:val="28"/>
          <w:lang w:eastAsia="ru-RU"/>
        </w:rPr>
        <w:t xml:space="preserve"> 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Участник, подавший Заявку, вправе ее изменить.</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 </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Заявка подается Участником не ранее даты, указанной в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Заявки, поданные ранее даты и времени, указанные в разделе </w:t>
      </w:r>
      <w:r>
        <w:rPr>
          <w:rFonts w:eastAsia="Times New Roman" w:cs="Times New Roman" w:ascii="Times New Roman" w:hAnsi="Times New Roman"/>
          <w:sz w:val="28"/>
          <w:szCs w:val="28"/>
          <w:lang w:val="en-US" w:eastAsia="ru-RU"/>
        </w:rPr>
        <w:t>I</w:t>
      </w:r>
      <w:r>
        <w:rPr>
          <w:rFonts w:eastAsia="Times New Roman" w:cs="Times New Roman" w:ascii="Times New Roman" w:hAnsi="Times New Roman"/>
          <w:sz w:val="28"/>
          <w:szCs w:val="28"/>
          <w:lang w:eastAsia="ru-RU"/>
        </w:rPr>
        <w:t xml:space="preserve"> Документации о проведении предварительного отбора, не принимаются оператором электронной площадки и возвращаются Участнику.</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Каждая Заявка, поступившая в установленные сроки, регистрируется оператором электронной площадки, с присвоением порядкового номера.</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Порядок и срок отзыва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отозвать.</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может быть отозвана до даты и времени окончания срока подачи Заявок, указанных в Извещении и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Отзыв Заявки осуществляется через сайт оператора электронной площадки, в соответствии с регламентом работы электронной площадки.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Уведомление об отзыве Заявки должно быть подписано усиленной неквалифицированной электронной подписью Участника.</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left="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Любое заинтересованное лицо вправе направить в орган по ведению реестра квалифицированных подрядных организаций запрос о разъяснении Документации о проведении предварительного отбора (далее –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Запросы принимаются </w:t>
      </w:r>
      <w:r>
        <w:rPr>
          <w:rFonts w:cs="Times New Roman" w:ascii="Times New Roman" w:hAnsi="Times New Roman"/>
          <w:b/>
          <w:sz w:val="28"/>
          <w:szCs w:val="28"/>
        </w:rPr>
        <w:t xml:space="preserve">до </w:t>
      </w:r>
      <w:r>
        <w:rPr>
          <w:rFonts w:cs="Times New Roman" w:ascii="Times New Roman" w:hAnsi="Times New Roman"/>
          <w:b/>
          <w:sz w:val="28"/>
          <w:szCs w:val="28"/>
        </w:rPr>
        <w:t>7</w:t>
      </w:r>
      <w:r>
        <w:rPr>
          <w:rFonts w:cs="Times New Roman" w:ascii="Times New Roman" w:hAnsi="Times New Roman"/>
          <w:b/>
          <w:sz w:val="28"/>
          <w:szCs w:val="28"/>
        </w:rPr>
        <w:t xml:space="preserve"> </w:t>
      </w:r>
      <w:r>
        <w:rPr>
          <w:rFonts w:cs="Times New Roman" w:ascii="Times New Roman" w:hAnsi="Times New Roman"/>
          <w:b/>
          <w:sz w:val="28"/>
          <w:szCs w:val="28"/>
        </w:rPr>
        <w:t>сентября</w:t>
      </w:r>
      <w:r>
        <w:rPr>
          <w:rFonts w:cs="Times New Roman" w:ascii="Times New Roman" w:hAnsi="Times New Roman"/>
          <w:b/>
          <w:sz w:val="28"/>
          <w:szCs w:val="28"/>
        </w:rPr>
        <w:t xml:space="preserve"> 2026</w:t>
      </w:r>
      <w:bookmarkStart w:id="0" w:name="_GoBack"/>
      <w:bookmarkEnd w:id="0"/>
      <w:r>
        <w:rPr>
          <w:rFonts w:cs="Times New Roman" w:ascii="Times New Roman" w:hAnsi="Times New Roman"/>
          <w:b/>
          <w:sz w:val="28"/>
          <w:szCs w:val="28"/>
        </w:rPr>
        <w:t xml:space="preserve"> г</w:t>
      </w:r>
      <w:r>
        <w:rPr>
          <w:rFonts w:cs="Times New Roman" w:ascii="Times New Roman" w:hAnsi="Times New Roman"/>
          <w:sz w:val="28"/>
          <w:szCs w:val="28"/>
        </w:rPr>
        <w:t xml:space="preserve">. включительно.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случае если Запрос поступил позднее даты, указанной в пункте 3 настоящего раздела, данный Запрос не рассматривается Органом по ведению РКП.</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Запрос должен быть подписан, усиленной неквалифицированной электронной подписью лица, направившего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firstLine="709"/>
        <w:jc w:val="center"/>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Порядок рассмотрения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Общие положения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Поступившие от Участников Заявки рассматриваются комиссией по проведению предварительного отбора (далее – Комиссия).  </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ее персональный состав, а также порядок ее работы утверждаются Органом по ведению РКП до начала проведения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Участие в предварительном отборе и заседаниях Комиссии осуществляется без взимания платы с Участника.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Протоколы Комиссии, составленные в ходе рассмотрения Заявок, хранятся Органом по ведению РКП не менее 3 (трех) лет.</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указанных лиц Участник должен сообщить об этом Органу по ведению РКП. </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 xml:space="preserve">Порядок рассмотрения Заявок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Любой Участник и (или) его представитель вправе участвовать в заседаниях Комиссии и осуществлять аудио- и (или) видеозаписи заседания Комиссии.</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 основании результатов рассмотрения Заявок и Участников Комиссия принимает одно из следующих решений:</w:t>
      </w:r>
    </w:p>
    <w:p>
      <w:pPr>
        <w:pStyle w:val="Normal"/>
        <w:widowControl w:val="false"/>
        <w:tabs>
          <w:tab w:val="clear" w:pos="708"/>
          <w:tab w:val="left" w:pos="1134" w:leader="none"/>
        </w:tabs>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включение Участника в реестр квалифицированных подрядных организаций;</w:t>
      </w:r>
    </w:p>
    <w:p>
      <w:pPr>
        <w:pStyle w:val="Normal"/>
        <w:widowControl w:val="false"/>
        <w:spacing w:lineRule="auto" w:line="240" w:before="0" w:after="0"/>
        <w:ind w:left="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отказ во включении Участника в реестр квалифицированных подрядных организаций.</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Решение Комиссии об отказе во включении Участника в реестр квалифицированных подрядных организаций принимается в следующих случаях:</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несоответствие Участника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несоответствие Заявки требованиям, установленным в Документации о проведении предварительного отбора;</w:t>
      </w:r>
    </w:p>
    <w:p>
      <w:pPr>
        <w:pStyle w:val="Normal"/>
        <w:widowControl w:val="false"/>
        <w:spacing w:lineRule="auto" w:line="240" w:before="0" w:after="0"/>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установление факта представления Участником недостоверной информации (сведений, документов) в составе Заявки.</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Невключение в реестр квалифицированных подрядных организаций по иным основаниям, кроме случаев, указанных в пункте 2.7. настоящего Порядка, не допускается.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Орган по ведению РКП в течение 2 (двух) рабочих дней с даты принятия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b/>
          <w:sz w:val="28"/>
          <w:szCs w:val="28"/>
          <w:lang w:eastAsia="ru-RU"/>
        </w:rPr>
        <w:t>Принятие решения о признании предварительного отбора несостоявшимся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Предварительный отбор признается Комиссией несостоявшимся в следующих случаях:</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pPr>
        <w:pStyle w:val="Normal"/>
        <w:widowControl w:val="fals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 принятие Комиссией решения о невключении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признания предварительного отбора несостоявшимся Орган по ведению РКП принимает решение об объявлении процедуры предварительного отбора повторно.</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pPr>
        <w:pStyle w:val="Normal"/>
        <w:widowControl w:val="false"/>
        <w:numPr>
          <w:ilvl w:val="1"/>
          <w:numId w:val="6"/>
        </w:numPr>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pPr>
        <w:pStyle w:val="Normal"/>
        <w:widowControl w:val="false"/>
        <w:numPr>
          <w:ilvl w:val="0"/>
          <w:numId w:val="6"/>
        </w:numPr>
        <w:tabs>
          <w:tab w:val="clear" w:pos="708"/>
          <w:tab w:val="left" w:pos="993" w:leader="none"/>
        </w:tabs>
        <w:spacing w:lineRule="auto" w:line="240" w:before="0" w:after="0"/>
        <w:ind w:firstLine="709" w:left="0"/>
        <w:jc w:val="both"/>
        <w:rPr>
          <w:rFonts w:ascii="Times New Roman" w:hAnsi="Times New Roman" w:eastAsia="Times New Roman" w:cs="Times New Roman"/>
          <w:b/>
          <w:sz w:val="28"/>
          <w:szCs w:val="28"/>
          <w:lang w:eastAsia="ru-RU"/>
        </w:rPr>
      </w:pPr>
      <w:r>
        <w:rPr>
          <w:rFonts w:eastAsia="Times New Roman" w:cs="Times New Roman" w:ascii="Times New Roman" w:hAnsi="Times New Roman"/>
          <w:b/>
          <w:sz w:val="28"/>
          <w:szCs w:val="28"/>
          <w:lang w:eastAsia="ru-RU"/>
        </w:rPr>
        <w:t>Протокол заседания Комиссии</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    </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pPr>
        <w:pStyle w:val="Normal"/>
        <w:widowControl w:val="false"/>
        <w:numPr>
          <w:ilvl w:val="1"/>
          <w:numId w:val="6"/>
        </w:numPr>
        <w:tabs>
          <w:tab w:val="clear" w:pos="708"/>
          <w:tab w:val="left" w:pos="1276"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pPr>
        <w:pStyle w:val="Normal"/>
        <w:widowControl w:val="false"/>
        <w:tabs>
          <w:tab w:val="clear" w:pos="708"/>
          <w:tab w:val="left" w:pos="1276" w:leader="none"/>
        </w:tabs>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 xml:space="preserve">Приложение № 1 </w:t>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ФОРМА ЗАЯВКИ</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УЧАСТИЕ В ПРЕДВАРИТЕЛЬНОМ ОТБОРЕ ПОДРЯДНЫХ ОРГАНИЗАЦИЙ</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 xml:space="preserve">ПО ИЗВЕЩЕНИЮ № </w:t>
      </w:r>
      <w:r>
        <w:rPr>
          <w:rFonts w:cs="Times New Roman" w:ascii="Times New Roman" w:hAnsi="Times New Roman"/>
          <w:sz w:val="24"/>
          <w:szCs w:val="24"/>
        </w:rPr>
        <w:t xml:space="preserve">___ </w:t>
      </w:r>
      <w:r>
        <w:rPr>
          <w:rFonts w:cs="Times New Roman" w:ascii="Times New Roman" w:hAnsi="Times New Roman"/>
          <w:b/>
          <w:sz w:val="24"/>
          <w:szCs w:val="24"/>
        </w:rPr>
        <w:t xml:space="preserve">ОТ </w:t>
      </w:r>
      <w:r>
        <w:rPr>
          <w:rFonts w:cs="Times New Roman" w:ascii="Times New Roman" w:hAnsi="Times New Roman"/>
          <w:sz w:val="24"/>
          <w:szCs w:val="24"/>
        </w:rPr>
        <w:t>__________________</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ind w:left="584"/>
        <w:jc w:val="right"/>
        <w:rPr>
          <w:rFonts w:ascii="Times New Roman" w:hAnsi="Times New Roman" w:cs="Times New Roman"/>
          <w:sz w:val="24"/>
          <w:szCs w:val="24"/>
        </w:rPr>
      </w:pPr>
      <w:r>
        <w:rPr>
          <w:rFonts w:cs="Times New Roman" w:ascii="Times New Roman" w:hAnsi="Times New Roman"/>
          <w:sz w:val="24"/>
          <w:szCs w:val="24"/>
          <w:u w:val="single"/>
        </w:rPr>
        <w:t>«</w:t>
        <w:tab/>
        <w:t xml:space="preserve">      »</w:t>
      </w:r>
      <w:r>
        <w:rPr>
          <w:rFonts w:cs="Times New Roman" w:ascii="Times New Roman" w:hAnsi="Times New Roman"/>
          <w:sz w:val="24"/>
          <w:szCs w:val="24"/>
        </w:rPr>
        <w:t xml:space="preserve"> ______________ 2__ года</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Pr>
          <w:rFonts w:cs="Times New Roman" w:ascii="Times New Roman" w:hAnsi="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Pr>
          <w:rFonts w:cs="Times New Roman" w:ascii="Times New Roman" w:hAnsi="Times New Roman"/>
          <w:sz w:val="24"/>
          <w:szCs w:val="24"/>
          <w:u w:val="single"/>
        </w:rPr>
        <w:t xml:space="preserve">     </w:t>
      </w:r>
      <w:r>
        <w:rPr>
          <w:rFonts w:cs="Times New Roman" w:ascii="Times New Roman" w:hAnsi="Times New Roman"/>
          <w:sz w:val="24"/>
          <w:szCs w:val="24"/>
        </w:rPr>
        <w:t xml:space="preserve"> в лице  </w:t>
      </w:r>
      <w:r>
        <w:rPr>
          <w:rFonts w:cs="Times New Roman" w:ascii="Times New Roman" w:hAnsi="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Pr>
          <w:rFonts w:cs="Times New Roman" w:ascii="Times New Roman" w:hAnsi="Times New Roman"/>
          <w:sz w:val="24"/>
          <w:szCs w:val="24"/>
        </w:rPr>
        <w:t>действующего на основании</w:t>
      </w:r>
      <w:r>
        <w:rPr>
          <w:rFonts w:cs="Times New Roman" w:ascii="Times New Roman" w:hAnsi="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r>
        <w:rPr>
          <w:rFonts w:cs="Times New Roman" w:ascii="Times New Roman" w:hAnsi="Times New Roman"/>
          <w:sz w:val="24"/>
          <w:szCs w:val="24"/>
        </w:rPr>
        <w:t xml:space="preserve">     просит рассмотреть заявку на участие в предварительном отборе подрядных организаций по предмету отбора </w:t>
      </w:r>
      <w:r>
        <w:rPr>
          <w:rFonts w:cs="Times New Roman" w:ascii="Times New Roman" w:hAnsi="Times New Roman"/>
          <w:i/>
          <w:sz w:val="24"/>
          <w:szCs w:val="24"/>
          <w:u w:val="single"/>
        </w:rPr>
        <w:t xml:space="preserve">                                 (указывается предмет предварительного отбора) .</w:t>
      </w:r>
      <w:r>
        <w:rPr>
          <w:rFonts w:cs="Times New Roman" w:ascii="Times New Roman" w:hAnsi="Times New Roman"/>
          <w:sz w:val="24"/>
          <w:szCs w:val="24"/>
        </w:rPr>
        <w:t xml:space="preserve">                                       </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Настоящим гарантируем достоверность представленной информации и подтверждаем право</w:t>
      </w:r>
      <w:r>
        <w:rPr>
          <w:rFonts w:cs="Times New Roman" w:ascii="Times New Roman" w:hAnsi="Times New Roman"/>
          <w:i/>
          <w:sz w:val="24"/>
          <w:szCs w:val="24"/>
          <w:u w:val="single"/>
        </w:rPr>
        <w:t xml:space="preserve"> (указывается наименование органа по ведению реестра квалифицированных подрядных организаций)      </w:t>
      </w:r>
      <w:r>
        <w:rPr>
          <w:rFonts w:cs="Times New Roman" w:ascii="Times New Roman" w:hAnsi="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Сообщаем о себе следующее (для юридического лица):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Полное наименование организации и сведения об организационно – правовой форме: ________________________________________________________________________,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юридического лица: 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для почтовых отправлений: 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Телефон:_______________________________________________,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электронной почты: 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Учредители – полное наименование юридического лица и его организационно  - правовая форма: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___________________________/ИНН___________________________,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членов коллегиального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 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единоличного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_____________________________/ИНН__________________________,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Сообщаю о себе следующее (для физического лица, зарегистрированного в качестве индивидуального предпринимателя):</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1. Фамилия Имя Отчество (при наличии отчества) 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3. Сведения о месте жительства 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4. Номер контактного телефона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лиц, уполномоченных действовать от имени участника предварительного отбора: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____________________________________________.</w:t>
      </w:r>
    </w:p>
    <w:p>
      <w:pPr>
        <w:pStyle w:val="ListParagraph"/>
        <w:tabs>
          <w:tab w:val="clear" w:pos="708"/>
          <w:tab w:val="left" w:pos="284" w:leader="none"/>
        </w:tabs>
        <w:spacing w:lineRule="auto" w:line="240" w:before="120" w:after="0"/>
        <w:ind w:firstLine="709"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12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Настоящим </w:t>
      </w:r>
      <w:r>
        <w:rPr>
          <w:rFonts w:cs="Times New Roman" w:ascii="Times New Roman" w:hAnsi="Times New Roman"/>
          <w:i/>
          <w:sz w:val="24"/>
          <w:szCs w:val="24"/>
          <w:u w:val="single"/>
        </w:rPr>
        <w:t xml:space="preserve">           (указывается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Pr>
          <w:rFonts w:cs="Times New Roman" w:ascii="Times New Roman" w:hAnsi="Times New Roman"/>
          <w:sz w:val="24"/>
          <w:szCs w:val="24"/>
        </w:rPr>
        <w:t>подтверждает соответствие требованиям, установленным в Документации о проведении предварительного отбора.</w:t>
      </w:r>
    </w:p>
    <w:p>
      <w:pPr>
        <w:pStyle w:val="ListParagraph"/>
        <w:tabs>
          <w:tab w:val="clear" w:pos="708"/>
          <w:tab w:val="left" w:pos="284" w:leader="none"/>
          <w:tab w:val="left" w:pos="993" w:leader="none"/>
        </w:tabs>
        <w:spacing w:lineRule="auto" w:line="240" w:before="0" w:after="0"/>
        <w:ind w:left="85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Приложения: </w:t>
      </w:r>
      <w:r>
        <w:rPr>
          <w:rFonts w:cs="Times New Roman" w:ascii="Times New Roman" w:hAnsi="Times New Roman"/>
          <w:i/>
          <w:sz w:val="24"/>
          <w:szCs w:val="24"/>
          <w:u w:val="single"/>
        </w:rPr>
        <w:t xml:space="preserve">(указываются перечень прилагаемых документов, перечисленных в пункте 4 раздела </w:t>
      </w:r>
      <w:r>
        <w:rPr>
          <w:rFonts w:cs="Times New Roman" w:ascii="Times New Roman" w:hAnsi="Times New Roman"/>
          <w:i/>
          <w:sz w:val="24"/>
          <w:szCs w:val="24"/>
          <w:u w:val="single"/>
          <w:lang w:val="en-US"/>
        </w:rPr>
        <w:t>VI</w:t>
      </w:r>
      <w:r>
        <w:rPr>
          <w:rFonts w:cs="Times New Roman" w:ascii="Times New Roman" w:hAnsi="Times New Roman"/>
          <w:i/>
          <w:sz w:val="24"/>
          <w:szCs w:val="24"/>
          <w:u w:val="single"/>
        </w:rPr>
        <w:t xml:space="preserve">. Документации о проведении предварительного отбора). </w:t>
      </w:r>
    </w:p>
    <w:p>
      <w:pPr>
        <w:pStyle w:val="Normal"/>
        <w:spacing w:lineRule="auto" w:line="240" w:before="0" w:after="0"/>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Style w:val="Style15"/>
          <w:rFonts w:ascii="Times New Roman" w:hAnsi="Times New Roman" w:cs="Times New Roman"/>
          <w:b/>
          <w:sz w:val="24"/>
          <w:szCs w:val="24"/>
        </w:rPr>
      </w:pPr>
      <w:r>
        <w:rPr>
          <w:rStyle w:val="Style15"/>
          <w:rFonts w:cs="Times New Roman" w:ascii="Times New Roman" w:hAnsi="Times New Roman"/>
          <w:b/>
          <w:sz w:val="24"/>
          <w:szCs w:val="24"/>
        </w:rPr>
        <w:t xml:space="preserve">ФОРМА ШТАТНО-СПИСОЧНОГО СОСТАВА СОТРУДНИКОВ </w:t>
      </w:r>
    </w:p>
    <w:p>
      <w:pPr>
        <w:pStyle w:val="Normal"/>
        <w:spacing w:before="0" w:after="12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overflowPunct w:val="false"/>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Участник предварительного отбора подрядных организаций:</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i/>
          <w:sz w:val="20"/>
          <w:szCs w:val="20"/>
          <w:u w:val="single"/>
          <w:lang w:eastAsia="ru-RU"/>
        </w:rPr>
        <w:t xml:space="preserve">(указывается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 </w:t>
      </w:r>
      <w:r>
        <w:rPr>
          <w:rFonts w:eastAsia="Times New Roman" w:cs="Times New Roman" w:ascii="Times New Roman" w:hAnsi="Times New Roman"/>
          <w:bCs/>
          <w:sz w:val="24"/>
          <w:szCs w:val="24"/>
          <w:u w:val="single"/>
          <w:lang w:eastAsia="ru-RU"/>
        </w:rPr>
        <w:t xml:space="preserve">       .</w:t>
      </w:r>
    </w:p>
    <w:tbl>
      <w:tblPr>
        <w:tblW w:w="10206" w:type="dxa"/>
        <w:jc w:val="left"/>
        <w:tblInd w:w="-435" w:type="dxa"/>
        <w:tblLayout w:type="fixed"/>
        <w:tblCellMar>
          <w:top w:w="0" w:type="dxa"/>
          <w:left w:w="40" w:type="dxa"/>
          <w:bottom w:w="0" w:type="dxa"/>
          <w:right w:w="40" w:type="dxa"/>
        </w:tblCellMar>
        <w:tblLook w:firstRow="0" w:noVBand="0" w:lastRow="0" w:firstColumn="0" w:lastColumn="0" w:noHBand="0" w:val="0000"/>
      </w:tblPr>
      <w:tblGrid>
        <w:gridCol w:w="678"/>
        <w:gridCol w:w="2157"/>
        <w:gridCol w:w="1700"/>
        <w:gridCol w:w="1418"/>
        <w:gridCol w:w="1731"/>
        <w:gridCol w:w="2521"/>
      </w:tblGrid>
      <w:tr>
        <w:trPr/>
        <w:tc>
          <w:tcPr>
            <w:tcW w:w="67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firstLine="43" w:left="-113"/>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5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Фамилия, имя, отчест</w:t>
              <w:softHyphen/>
              <w:t>во работника</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Образование</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Должность</w:t>
            </w:r>
          </w:p>
        </w:tc>
        <w:tc>
          <w:tcPr>
            <w:tcW w:w="1731"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102"/>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Стаж работы в дан</w:t>
              <w:softHyphen/>
              <w:t>ной или аналогичной должности, лет</w:t>
            </w:r>
          </w:p>
        </w:tc>
        <w:tc>
          <w:tcPr>
            <w:tcW w:w="2521"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Сертификаты, лицензии, удостоверения по соответствующим допускам (при наличии)</w:t>
            </w:r>
          </w:p>
        </w:tc>
      </w:tr>
      <w:tr>
        <w:trPr/>
        <w:tc>
          <w:tcPr>
            <w:tcW w:w="67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5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9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731"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521"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r>
      <w:tr>
        <w:trPr/>
        <w:tc>
          <w:tcPr>
            <w:tcW w:w="67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182"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5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0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41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3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52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bl>
    <w:p>
      <w:pPr>
        <w:pStyle w:val="Normal"/>
        <w:shd w:val="clear" w:color="auto" w:fill="FFFFFF"/>
        <w:ind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Примечание: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подрядных организаций в пункте «л» раздела </w:t>
      </w:r>
      <w:r>
        <w:rPr>
          <w:rFonts w:cs="Times New Roman" w:ascii="Times New Roman" w:hAnsi="Times New Roman"/>
          <w:i/>
          <w:sz w:val="24"/>
          <w:szCs w:val="24"/>
          <w:lang w:val="en-US"/>
        </w:rPr>
        <w:t>V</w:t>
      </w:r>
      <w:r>
        <w:rPr>
          <w:rFonts w:cs="Times New Roman" w:ascii="Times New Roman" w:hAnsi="Times New Roman"/>
          <w:i/>
          <w:sz w:val="24"/>
          <w:szCs w:val="24"/>
        </w:rPr>
        <w:t xml:space="preserve"> Документации о проведении предварительного отбора.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Табличная форма включает в себя следующие данные: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 п/п» указывается номер строки по порядку;</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«Фамилия, имя, отчество работника» указываются фамилия имя и отчество (при наличии отчества) сотрудника;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«Образование»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«Должность» указываются сведения о должности сотрудника, занимаемой в данной организации, соответствующие сведениям трудового договора;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w:t>
      </w:r>
      <w:r>
        <w:rPr>
          <w:rFonts w:eastAsia="Times New Roman" w:cs="Times New Roman" w:ascii="Times New Roman" w:hAnsi="Times New Roman"/>
          <w:i/>
          <w:sz w:val="24"/>
          <w:szCs w:val="24"/>
        </w:rPr>
        <w:t>трудовых книжках, дипломах, трудовых договорах)</w:t>
      </w:r>
      <w:r>
        <w:rPr>
          <w:rFonts w:cs="Times New Roman" w:ascii="Times New Roman" w:hAnsi="Times New Roman"/>
          <w:i/>
          <w:sz w:val="24"/>
          <w:szCs w:val="24"/>
        </w:rPr>
        <w:t>;</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«Сертификаты, лицензии, удостоверения по соответствующим допускам (при наличии)» указываются сведения об имеющихся у сотрудника сертификатах, разрешениях и пр. документах.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3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t>Рекомендуемая форма запроса о разъяснении положений документации о проведении предварительного отбора</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Запрос о разъяснении положений</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документации о проведении предварительного отбора</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color w:val="FFFFFF"/>
          <w:sz w:val="24"/>
          <w:szCs w:val="24"/>
        </w:rPr>
        <w:t>_</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8"/>
          <w:szCs w:val="28"/>
        </w:rPr>
      </w:pPr>
      <w:r>
        <w:rPr>
          <w:rFonts w:eastAsia="Times New Roman" w:cs="Times New Roman" w:ascii="Times New Roman" w:hAnsi="Times New Roman"/>
          <w:spacing w:val="-1"/>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tabs>
          <w:tab w:val="clear" w:pos="708"/>
          <w:tab w:val="left" w:pos="993" w:leader="none"/>
        </w:tabs>
        <w:ind w:firstLine="709"/>
        <w:jc w:val="both"/>
        <w:rPr>
          <w:rFonts w:ascii="Times New Roman" w:hAnsi="Times New Roman" w:cs="Times New Roman"/>
          <w:i/>
          <w:i/>
          <w:sz w:val="28"/>
          <w:szCs w:val="28"/>
        </w:rPr>
      </w:pPr>
      <w:r>
        <w:rPr>
          <w:rFonts w:cs="Times New Roman" w:ascii="Times New Roman" w:hAnsi="Times New Roman"/>
          <w:i/>
          <w:sz w:val="28"/>
          <w:szCs w:val="28"/>
        </w:rPr>
      </w:r>
    </w:p>
    <w:sectPr>
      <w:type w:val="nextPage"/>
      <w:pgSz w:w="11906" w:h="16838"/>
      <w:pgMar w:left="1701" w:right="850" w:gutter="0" w:header="0" w:top="1134"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479"/>
        </w:tabs>
        <w:ind w:left="3970" w:hanging="851"/>
      </w:pPr>
      <w:rPr/>
    </w:lvl>
    <w:lvl w:ilvl="1">
      <w:start w:val="1"/>
      <w:numFmt w:val="decimal"/>
      <w:lvlText w:val="%1.%2."/>
      <w:lvlJc w:val="left"/>
      <w:pPr>
        <w:tabs>
          <w:tab w:val="num" w:pos="1135"/>
        </w:tabs>
        <w:ind w:left="1135" w:hanging="851"/>
      </w:pPr>
      <w:rPr>
        <w:b/>
      </w:rPr>
    </w:lvl>
    <w:lvl w:ilvl="2">
      <w:start w:val="1"/>
      <w:numFmt w:val="decimal"/>
      <w:lvlText w:val="%1.%2.%3."/>
      <w:lvlJc w:val="left"/>
      <w:pPr>
        <w:tabs>
          <w:tab w:val="num" w:pos="1561"/>
        </w:tabs>
        <w:ind w:left="1561" w:hanging="851"/>
      </w:pPr>
      <w:rPr>
        <w:b w:val="false"/>
      </w:rPr>
    </w:lvl>
    <w:lvl w:ilvl="3">
      <w:start w:val="1"/>
      <w:numFmt w:val="decimal"/>
      <w:lvlText w:val="%1.%2.%3.%4."/>
      <w:lvlJc w:val="left"/>
      <w:pPr>
        <w:tabs>
          <w:tab w:val="num" w:pos="851"/>
        </w:tabs>
        <w:ind w:left="851" w:hanging="851"/>
      </w:pPr>
      <w:rPr/>
    </w:lvl>
    <w:lvl w:ilvl="4">
      <w:start w:val="1"/>
      <w:numFmt w:val="decimal"/>
      <w:lvlText w:val="%1.%2.%3.%4.%5."/>
      <w:lvlJc w:val="left"/>
      <w:pPr>
        <w:tabs>
          <w:tab w:val="num" w:pos="1418"/>
        </w:tabs>
        <w:ind w:left="1418" w:hanging="1418"/>
      </w:pPr>
      <w:rPr/>
    </w:lvl>
    <w:lvl w:ilvl="5">
      <w:start w:val="1"/>
      <w:numFmt w:val="decimal"/>
      <w:lvlText w:val="%1.%2.%3.%4.%5.%6."/>
      <w:lvlJc w:val="left"/>
      <w:pPr>
        <w:tabs>
          <w:tab w:val="num" w:pos="895"/>
        </w:tabs>
        <w:ind w:left="751" w:hanging="936"/>
      </w:pPr>
      <w:rPr/>
    </w:lvl>
    <w:lvl w:ilvl="6">
      <w:start w:val="1"/>
      <w:numFmt w:val="decimal"/>
      <w:lvlText w:val="%1.%2.%3.%4.%5.%6.%7."/>
      <w:lvlJc w:val="left"/>
      <w:pPr>
        <w:tabs>
          <w:tab w:val="num" w:pos="1615"/>
        </w:tabs>
        <w:ind w:left="1255" w:hanging="1080"/>
      </w:pPr>
      <w:rPr/>
    </w:lvl>
    <w:lvl w:ilvl="7">
      <w:start w:val="1"/>
      <w:numFmt w:val="decimal"/>
      <w:lvlText w:val="%1.%2.%3.%4.%5.%6.%7.%8."/>
      <w:lvlJc w:val="left"/>
      <w:pPr>
        <w:tabs>
          <w:tab w:val="num" w:pos="1975"/>
        </w:tabs>
        <w:ind w:left="1759" w:hanging="1224"/>
      </w:pPr>
      <w:rPr/>
    </w:lvl>
    <w:lvl w:ilvl="8">
      <w:start w:val="1"/>
      <w:numFmt w:val="decimal"/>
      <w:lvlText w:val="%1.%2.%3.%4.%5.%6.%7.%8.%9."/>
      <w:lvlJc w:val="left"/>
      <w:pPr>
        <w:tabs>
          <w:tab w:val="num" w:pos="2695"/>
        </w:tabs>
        <w:ind w:left="2335" w:hanging="1440"/>
      </w:pPr>
      <w:rPr/>
    </w:lvl>
  </w:abstractNum>
  <w:abstractNum w:abstractNumId="2">
    <w:lvl w:ilvl="0">
      <w:start w:val="1"/>
      <w:numFmt w:val="decimal"/>
      <w:lvlText w:val="%1."/>
      <w:lvlJc w:val="left"/>
      <w:pPr>
        <w:tabs>
          <w:tab w:val="num" w:pos="0"/>
        </w:tabs>
        <w:ind w:left="1851" w:hanging="360"/>
      </w:pPr>
      <w:rPr/>
    </w:lvl>
    <w:lvl w:ilvl="1">
      <w:start w:val="1"/>
      <w:numFmt w:val="lowerLetter"/>
      <w:lvlText w:val="%2."/>
      <w:lvlJc w:val="left"/>
      <w:pPr>
        <w:tabs>
          <w:tab w:val="num" w:pos="0"/>
        </w:tabs>
        <w:ind w:left="2571" w:hanging="360"/>
      </w:pPr>
      <w:rPr/>
    </w:lvl>
    <w:lvl w:ilvl="2">
      <w:start w:val="1"/>
      <w:numFmt w:val="lowerRoman"/>
      <w:lvlText w:val="%3."/>
      <w:lvlJc w:val="right"/>
      <w:pPr>
        <w:tabs>
          <w:tab w:val="num" w:pos="0"/>
        </w:tabs>
        <w:ind w:left="3291" w:hanging="180"/>
      </w:pPr>
      <w:rPr/>
    </w:lvl>
    <w:lvl w:ilvl="3">
      <w:start w:val="1"/>
      <w:numFmt w:val="decimal"/>
      <w:lvlText w:val="%4."/>
      <w:lvlJc w:val="left"/>
      <w:pPr>
        <w:tabs>
          <w:tab w:val="num" w:pos="0"/>
        </w:tabs>
        <w:ind w:left="4011" w:hanging="360"/>
      </w:pPr>
      <w:rPr/>
    </w:lvl>
    <w:lvl w:ilvl="4">
      <w:start w:val="1"/>
      <w:numFmt w:val="lowerLetter"/>
      <w:lvlText w:val="%5."/>
      <w:lvlJc w:val="left"/>
      <w:pPr>
        <w:tabs>
          <w:tab w:val="num" w:pos="0"/>
        </w:tabs>
        <w:ind w:left="4731" w:hanging="360"/>
      </w:pPr>
      <w:rPr/>
    </w:lvl>
    <w:lvl w:ilvl="5">
      <w:start w:val="1"/>
      <w:numFmt w:val="lowerRoman"/>
      <w:lvlText w:val="%6."/>
      <w:lvlJc w:val="right"/>
      <w:pPr>
        <w:tabs>
          <w:tab w:val="num" w:pos="0"/>
        </w:tabs>
        <w:ind w:left="5451" w:hanging="180"/>
      </w:pPr>
      <w:rPr/>
    </w:lvl>
    <w:lvl w:ilvl="6">
      <w:start w:val="1"/>
      <w:numFmt w:val="decimal"/>
      <w:lvlText w:val="%7."/>
      <w:lvlJc w:val="left"/>
      <w:pPr>
        <w:tabs>
          <w:tab w:val="num" w:pos="0"/>
        </w:tabs>
        <w:ind w:left="6171" w:hanging="360"/>
      </w:pPr>
      <w:rPr/>
    </w:lvl>
    <w:lvl w:ilvl="7">
      <w:start w:val="1"/>
      <w:numFmt w:val="lowerLetter"/>
      <w:lvlText w:val="%8."/>
      <w:lvlJc w:val="left"/>
      <w:pPr>
        <w:tabs>
          <w:tab w:val="num" w:pos="0"/>
        </w:tabs>
        <w:ind w:left="6891" w:hanging="360"/>
      </w:pPr>
      <w:rPr/>
    </w:lvl>
    <w:lvl w:ilvl="8">
      <w:start w:val="1"/>
      <w:numFmt w:val="lowerRoman"/>
      <w:lvlText w:val="%9."/>
      <w:lvlJc w:val="right"/>
      <w:pPr>
        <w:tabs>
          <w:tab w:val="num" w:pos="0"/>
        </w:tabs>
        <w:ind w:left="7611" w:hanging="180"/>
      </w:pPr>
      <w:rPr/>
    </w:lvl>
  </w:abstractNum>
  <w:abstractNum w:abstractNumId="3">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6">
    <w:lvl w:ilvl="0">
      <w:start w:val="1"/>
      <w:numFmt w:val="decimal"/>
      <w:lvlText w:val="%1."/>
      <w:lvlJc w:val="left"/>
      <w:pPr>
        <w:tabs>
          <w:tab w:val="num" w:pos="0"/>
        </w:tabs>
        <w:ind w:left="3192" w:hanging="360"/>
      </w:pPr>
      <w:rPr>
        <w:b/>
      </w:rPr>
    </w:lvl>
    <w:lvl w:ilvl="1">
      <w:start w:val="1"/>
      <w:numFmt w:val="decimal"/>
      <w:lvlText w:val="%1.%2."/>
      <w:lvlJc w:val="left"/>
      <w:pPr>
        <w:tabs>
          <w:tab w:val="num" w:pos="0"/>
        </w:tabs>
        <w:ind w:left="1850" w:hanging="432"/>
      </w:pPr>
      <w:rPr/>
    </w:lvl>
    <w:lvl w:ilvl="2">
      <w:start w:val="1"/>
      <w:numFmt w:val="decimal"/>
      <w:lvlText w:val="%1.%2.%3."/>
      <w:lvlJc w:val="left"/>
      <w:pPr>
        <w:tabs>
          <w:tab w:val="num" w:pos="0"/>
        </w:tabs>
        <w:ind w:left="4056" w:hanging="504"/>
      </w:pPr>
      <w:rPr/>
    </w:lvl>
    <w:lvl w:ilvl="3">
      <w:start w:val="1"/>
      <w:numFmt w:val="decimal"/>
      <w:lvlText w:val="%1.%2.%3.%4."/>
      <w:lvlJc w:val="left"/>
      <w:pPr>
        <w:tabs>
          <w:tab w:val="num" w:pos="0"/>
        </w:tabs>
        <w:ind w:left="4560" w:hanging="648"/>
      </w:pPr>
      <w:rPr/>
    </w:lvl>
    <w:lvl w:ilvl="4">
      <w:start w:val="1"/>
      <w:numFmt w:val="decimal"/>
      <w:lvlText w:val="%1.%2.%3.%4.%5."/>
      <w:lvlJc w:val="left"/>
      <w:pPr>
        <w:tabs>
          <w:tab w:val="num" w:pos="0"/>
        </w:tabs>
        <w:ind w:left="5064" w:hanging="792"/>
      </w:pPr>
      <w:rPr/>
    </w:lvl>
    <w:lvl w:ilvl="5">
      <w:start w:val="1"/>
      <w:numFmt w:val="decimal"/>
      <w:lvlText w:val="%1.%2.%3.%4.%5.%6."/>
      <w:lvlJc w:val="left"/>
      <w:pPr>
        <w:tabs>
          <w:tab w:val="num" w:pos="0"/>
        </w:tabs>
        <w:ind w:left="5568" w:hanging="936"/>
      </w:pPr>
      <w:rPr/>
    </w:lvl>
    <w:lvl w:ilvl="6">
      <w:start w:val="1"/>
      <w:numFmt w:val="decimal"/>
      <w:lvlText w:val="%1.%2.%3.%4.%5.%6.%7."/>
      <w:lvlJc w:val="left"/>
      <w:pPr>
        <w:tabs>
          <w:tab w:val="num" w:pos="0"/>
        </w:tabs>
        <w:ind w:left="6072" w:hanging="1080"/>
      </w:pPr>
      <w:rPr/>
    </w:lvl>
    <w:lvl w:ilvl="7">
      <w:start w:val="1"/>
      <w:numFmt w:val="decimal"/>
      <w:lvlText w:val="%1.%2.%3.%4.%5.%6.%7.%8."/>
      <w:lvlJc w:val="left"/>
      <w:pPr>
        <w:tabs>
          <w:tab w:val="num" w:pos="0"/>
        </w:tabs>
        <w:ind w:left="6576" w:hanging="1224"/>
      </w:pPr>
      <w:rPr/>
    </w:lvl>
    <w:lvl w:ilvl="8">
      <w:start w:val="1"/>
      <w:numFmt w:val="decimal"/>
      <w:lvlText w:val="%1.%2.%3.%4.%5.%6.%7.%8.%9."/>
      <w:lvlJc w:val="left"/>
      <w:pPr>
        <w:tabs>
          <w:tab w:val="num" w:pos="0"/>
        </w:tabs>
        <w:ind w:left="7152" w:hanging="1440"/>
      </w:pPr>
      <w:rPr/>
    </w:lvl>
  </w:abstractNum>
  <w:abstractNum w:abstractNumId="7">
    <w:lvl w:ilvl="0">
      <w:start w:val="4"/>
      <w:numFmt w:val="upperRoman"/>
      <w:lvlText w:val="%1."/>
      <w:lvlJc w:val="left"/>
      <w:pPr>
        <w:tabs>
          <w:tab w:val="num" w:pos="0"/>
        </w:tabs>
        <w:ind w:left="1080" w:hanging="72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upperRoman"/>
      <w:lvlText w:val="%1."/>
      <w:lvlJc w:val="left"/>
      <w:pPr>
        <w:tabs>
          <w:tab w:val="num" w:pos="0"/>
        </w:tabs>
        <w:ind w:left="4123"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8"/>
    <w:lvlOverride w:ilvl="0">
      <w:startOverride w:val="1"/>
    </w:lvlOverride>
  </w:num>
  <w:num w:numId="13">
    <w:abstractNumId w:val="8"/>
  </w:num>
  <w:num w:numId="14">
    <w:abstractNumId w:val="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7661"/>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rsid w:val="00905414"/>
    <w:pPr>
      <w:keepNext w:val="true"/>
      <w:keepLines/>
      <w:numPr>
        <w:ilvl w:val="0"/>
        <w:numId w:val="1"/>
      </w:numPr>
      <w:spacing w:lineRule="auto" w:line="240" w:before="240" w:after="120"/>
      <w:jc w:val="both"/>
      <w:outlineLvl w:val="0"/>
    </w:pPr>
    <w:rPr>
      <w:rFonts w:ascii="Arial" w:hAnsi="Arial" w:eastAsia="Times New Roman" w:cs="Arial"/>
      <w:b/>
      <w:bCs/>
      <w:kern w:val="2"/>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05414"/>
    <w:rPr>
      <w:rFonts w:ascii="Arial" w:hAnsi="Arial" w:eastAsia="Times New Roman" w:cs="Arial"/>
      <w:b/>
      <w:bCs/>
      <w:kern w:val="2"/>
      <w:lang w:eastAsia="ru-RU"/>
    </w:rPr>
  </w:style>
  <w:style w:type="character" w:styleId="InternetLink">
    <w:name w:val="Internet Link"/>
    <w:uiPriority w:val="99"/>
    <w:unhideWhenUsed/>
    <w:qFormat/>
    <w:rsid w:val="00905414"/>
    <w:rPr>
      <w:rFonts w:ascii="Arial" w:hAnsi="Arial"/>
      <w:color w:val="0000FF"/>
      <w:u w:val="single"/>
    </w:rPr>
  </w:style>
  <w:style w:type="character" w:styleId="Style13" w:customStyle="1">
    <w:name w:val="Основной текст Знак"/>
    <w:basedOn w:val="DefaultParagraphFont"/>
    <w:qFormat/>
    <w:rsid w:val="00905414"/>
    <w:rPr>
      <w:rFonts w:ascii="Arial" w:hAnsi="Arial" w:eastAsia="Times New Roman" w:cs="Times New Roman"/>
      <w:szCs w:val="24"/>
      <w:lang w:eastAsia="ru-RU"/>
    </w:rPr>
  </w:style>
  <w:style w:type="character" w:styleId="Style14" w:customStyle="1">
    <w:name w:val="Нумерованный текст Знак"/>
    <w:link w:val="Style24"/>
    <w:qFormat/>
    <w:rsid w:val="00905414"/>
    <w:rPr>
      <w:rFonts w:ascii="Arial" w:hAnsi="Arial" w:eastAsia="Times New Roman" w:cs="Arial"/>
      <w:lang w:eastAsia="ru-RU"/>
    </w:rPr>
  </w:style>
  <w:style w:type="character" w:styleId="-4" w:customStyle="1">
    <w:name w:val="Пункт-4 Знак"/>
    <w:link w:val="-41"/>
    <w:qFormat/>
    <w:locked/>
    <w:rsid w:val="00905414"/>
    <w:rPr>
      <w:rFonts w:ascii="Times New Roman" w:hAnsi="Times New Roman" w:eastAsia="Times New Roman" w:cs="Times New Roman"/>
      <w:lang w:eastAsia="ru-RU"/>
    </w:rPr>
  </w:style>
  <w:style w:type="character" w:styleId="apple-converted-space" w:customStyle="1">
    <w:name w:val="apple-converted-space"/>
    <w:basedOn w:val="DefaultParagraphFont"/>
    <w:qFormat/>
    <w:rsid w:val="00905414"/>
    <w:rPr/>
  </w:style>
  <w:style w:type="character" w:styleId="Style15" w:customStyle="1">
    <w:name w:val="Цветовое выделение для Нормальный"/>
    <w:basedOn w:val="DefaultParagraphFont"/>
    <w:uiPriority w:val="99"/>
    <w:qFormat/>
    <w:rsid w:val="00905414"/>
    <w:rPr>
      <w:sz w:val="20"/>
      <w:szCs w:val="20"/>
    </w:rPr>
  </w:style>
  <w:style w:type="character" w:styleId="Style16" w:customStyle="1">
    <w:name w:val="Текст выноски Знак"/>
    <w:basedOn w:val="DefaultParagraphFont"/>
    <w:link w:val="BalloonText"/>
    <w:uiPriority w:val="99"/>
    <w:semiHidden/>
    <w:qFormat/>
    <w:rsid w:val="00290990"/>
    <w:rPr>
      <w:rFonts w:ascii="Segoe UI" w:hAnsi="Segoe UI" w:cs="Segoe UI"/>
      <w:sz w:val="18"/>
      <w:szCs w:val="18"/>
    </w:rPr>
  </w:style>
  <w:style w:type="character" w:styleId="Style17" w:customStyle="1">
    <w:name w:val="Текст сноски Знак"/>
    <w:basedOn w:val="DefaultParagraphFont"/>
    <w:uiPriority w:val="99"/>
    <w:semiHidden/>
    <w:qFormat/>
    <w:rsid w:val="009e4821"/>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uiPriority w:val="99"/>
    <w:semiHidden/>
    <w:unhideWhenUsed/>
    <w:qFormat/>
    <w:rsid w:val="009e4821"/>
    <w:rPr>
      <w:vertAlign w:val="superscript"/>
    </w:rPr>
  </w:style>
  <w:style w:type="character" w:styleId="Style18" w:customStyle="1">
    <w:name w:val="Текст концевой сноски Знак"/>
    <w:basedOn w:val="DefaultParagraphFont"/>
    <w:uiPriority w:val="99"/>
    <w:semiHidden/>
    <w:qFormat/>
    <w:rsid w:val="00e94a4f"/>
    <w:rPr>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basedOn w:val="DefaultParagraphFont"/>
    <w:uiPriority w:val="99"/>
    <w:semiHidden/>
    <w:unhideWhenUsed/>
    <w:qFormat/>
    <w:rsid w:val="00e94a4f"/>
    <w:rPr>
      <w:vertAlign w:val="superscript"/>
    </w:rPr>
  </w:style>
  <w:style w:type="character" w:styleId="annotationreference">
    <w:name w:val="annotation reference"/>
    <w:basedOn w:val="DefaultParagraphFont"/>
    <w:uiPriority w:val="99"/>
    <w:semiHidden/>
    <w:unhideWhenUsed/>
    <w:qFormat/>
    <w:rsid w:val="00b60540"/>
    <w:rPr>
      <w:sz w:val="16"/>
      <w:szCs w:val="16"/>
    </w:rPr>
  </w:style>
  <w:style w:type="character" w:styleId="Style19" w:customStyle="1">
    <w:name w:val="Текст примечания Знак"/>
    <w:basedOn w:val="DefaultParagraphFont"/>
    <w:uiPriority w:val="99"/>
    <w:semiHidden/>
    <w:qFormat/>
    <w:rsid w:val="00b60540"/>
    <w:rPr>
      <w:sz w:val="20"/>
      <w:szCs w:val="20"/>
    </w:rPr>
  </w:style>
  <w:style w:type="character" w:styleId="Style20" w:customStyle="1">
    <w:name w:val="Тема примечания Знак"/>
    <w:basedOn w:val="Style19"/>
    <w:link w:val="annotationsubject"/>
    <w:uiPriority w:val="99"/>
    <w:semiHidden/>
    <w:qFormat/>
    <w:rsid w:val="00b60540"/>
    <w:rPr>
      <w:b/>
      <w:bCs/>
      <w:sz w:val="20"/>
      <w:szCs w:val="20"/>
    </w:rPr>
  </w:style>
  <w:style w:type="character" w:styleId="Style21" w:customStyle="1">
    <w:name w:val="Абзац списка Знак"/>
    <w:link w:val="ListParagraph"/>
    <w:uiPriority w:val="99"/>
    <w:qFormat/>
    <w:locked/>
    <w:rsid w:val="001c2a6b"/>
    <w:rPr/>
  </w:style>
  <w:style w:type="character" w:styleId="ConsPlusNormal" w:customStyle="1">
    <w:name w:val="ConsPlusNormal Знак"/>
    <w:basedOn w:val="DefaultParagraphFont"/>
    <w:link w:val="ConsPlusNormal1"/>
    <w:qFormat/>
    <w:locked/>
    <w:rsid w:val="001c2a6b"/>
    <w:rPr>
      <w:rFonts w:ascii="Arial" w:hAnsi="Arial" w:eastAsia="" w:cs="Arial" w:eastAsiaTheme="minorEastAsia"/>
      <w:sz w:val="20"/>
      <w:szCs w:val="20"/>
      <w:lang w:eastAsia="ru-RU"/>
    </w:rPr>
  </w:style>
  <w:style w:type="character" w:styleId="2" w:customStyle="1">
    <w:name w:val="Основной текст (2)_"/>
    <w:basedOn w:val="DefaultParagraphFont"/>
    <w:link w:val="21"/>
    <w:qFormat/>
    <w:locked/>
    <w:rsid w:val="007c4237"/>
    <w:rPr>
      <w:rFonts w:ascii="Times New Roman" w:hAnsi="Times New Roman" w:eastAsia="Times New Roman" w:cs="Times New Roman"/>
      <w:sz w:val="23"/>
      <w:szCs w:val="23"/>
      <w:shd w:fill="FFFFFF" w:val="clear"/>
    </w:rPr>
  </w:style>
  <w:style w:type="character" w:styleId="InternetLink1">
    <w:name w:val="Internet Link1"/>
    <w:qFormat/>
    <w:rPr>
      <w:color w:val="000080"/>
      <w:u w:val="single"/>
    </w:rPr>
  </w:style>
  <w:style w:type="character" w:styleId="Hyperlink">
    <w:name w:val="Hyperlink"/>
    <w:rPr>
      <w:color w:val="000080"/>
      <w:u w:val="single"/>
    </w:rPr>
  </w:style>
  <w:style w:type="paragraph" w:styleId="Style2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3"/>
    <w:unhideWhenUsed/>
    <w:rsid w:val="00905414"/>
    <w:pPr>
      <w:spacing w:lineRule="auto" w:line="240" w:before="120" w:after="120"/>
      <w:jc w:val="both"/>
    </w:pPr>
    <w:rPr>
      <w:rFonts w:ascii="Arial" w:hAnsi="Arial" w:eastAsia="Times New Roman" w:cs="Times New Roman"/>
      <w:szCs w:val="24"/>
      <w:lang w:eastAsia="ru-RU"/>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3">
    <w:name w:val="Указатель"/>
    <w:basedOn w:val="Normal"/>
    <w:qFormat/>
    <w:pPr>
      <w:suppressLineNumbers/>
    </w:pPr>
    <w:rPr>
      <w:rFonts w:cs="Arial"/>
    </w:rPr>
  </w:style>
  <w:style w:type="paragraph" w:styleId="ListParagraph">
    <w:name w:val="List Paragraph"/>
    <w:basedOn w:val="Normal"/>
    <w:link w:val="Style21"/>
    <w:uiPriority w:val="99"/>
    <w:qFormat/>
    <w:rsid w:val="00905414"/>
    <w:pPr>
      <w:spacing w:before="0" w:after="160"/>
      <w:ind w:left="720"/>
      <w:contextualSpacing/>
    </w:pPr>
    <w:rPr/>
  </w:style>
  <w:style w:type="paragraph" w:styleId="Style24" w:customStyle="1">
    <w:name w:val="Нумерованный текст"/>
    <w:basedOn w:val="Normal"/>
    <w:link w:val="Style14"/>
    <w:qFormat/>
    <w:rsid w:val="00905414"/>
    <w:pPr>
      <w:numPr>
        <w:ilvl w:val="1"/>
        <w:numId w:val="1"/>
      </w:numPr>
      <w:spacing w:lineRule="auto" w:line="240" w:before="120" w:after="0"/>
      <w:jc w:val="both"/>
      <w:outlineLvl w:val="1"/>
    </w:pPr>
    <w:rPr>
      <w:rFonts w:ascii="Arial" w:hAnsi="Arial" w:eastAsia="Times New Roman" w:cs="Arial"/>
      <w:lang w:eastAsia="ru-RU"/>
    </w:rPr>
  </w:style>
  <w:style w:type="paragraph" w:styleId="-41" w:customStyle="1">
    <w:name w:val="Пункт-4"/>
    <w:basedOn w:val="Normal"/>
    <w:link w:val="-4"/>
    <w:autoRedefine/>
    <w:qFormat/>
    <w:rsid w:val="00905414"/>
    <w:pPr>
      <w:numPr>
        <w:ilvl w:val="2"/>
        <w:numId w:val="1"/>
      </w:numPr>
      <w:spacing w:lineRule="auto" w:line="240" w:before="0" w:after="0"/>
      <w:jc w:val="both"/>
    </w:pPr>
    <w:rPr>
      <w:rFonts w:ascii="Times New Roman" w:hAnsi="Times New Roman" w:eastAsia="Times New Roman" w:cs="Times New Roman"/>
      <w:lang w:eastAsia="ru-RU"/>
    </w:rPr>
  </w:style>
  <w:style w:type="paragraph" w:styleId="ConsPlusNormal1" w:customStyle="1">
    <w:name w:val="ConsPlusNormal"/>
    <w:link w:val="ConsPlusNormal"/>
    <w:qFormat/>
    <w:rsid w:val="006b47cc"/>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BalloonText">
    <w:name w:val="Balloon Text"/>
    <w:basedOn w:val="Normal"/>
    <w:link w:val="Style16"/>
    <w:uiPriority w:val="99"/>
    <w:semiHidden/>
    <w:unhideWhenUsed/>
    <w:qFormat/>
    <w:rsid w:val="00290990"/>
    <w:pPr>
      <w:spacing w:lineRule="auto" w:line="240" w:before="0" w:after="0"/>
    </w:pPr>
    <w:rPr>
      <w:rFonts w:ascii="Segoe UI" w:hAnsi="Segoe UI" w:cs="Segoe UI"/>
      <w:sz w:val="18"/>
      <w:szCs w:val="18"/>
    </w:rPr>
  </w:style>
  <w:style w:type="paragraph" w:styleId="FootnoteText">
    <w:name w:val="Footnote Text"/>
    <w:basedOn w:val="Normal"/>
    <w:link w:val="Style17"/>
    <w:uiPriority w:val="99"/>
    <w:semiHidden/>
    <w:unhideWhenUsed/>
    <w:rsid w:val="009e4821"/>
    <w:pPr>
      <w:spacing w:lineRule="auto" w:line="240" w:before="0" w:after="0"/>
      <w:ind w:firstLine="584"/>
      <w:jc w:val="both"/>
    </w:pPr>
    <w:rPr>
      <w:sz w:val="20"/>
      <w:szCs w:val="20"/>
    </w:rPr>
  </w:style>
  <w:style w:type="paragraph" w:styleId="EndnoteText">
    <w:name w:val="Endnote Text"/>
    <w:basedOn w:val="Normal"/>
    <w:link w:val="Style18"/>
    <w:uiPriority w:val="99"/>
    <w:semiHidden/>
    <w:unhideWhenUsed/>
    <w:rsid w:val="00e94a4f"/>
    <w:pPr>
      <w:spacing w:lineRule="auto" w:line="240" w:before="0" w:after="0"/>
    </w:pPr>
    <w:rPr>
      <w:sz w:val="20"/>
      <w:szCs w:val="20"/>
    </w:rPr>
  </w:style>
  <w:style w:type="paragraph" w:styleId="AnnotationText">
    <w:name w:val="Annotation Text"/>
    <w:basedOn w:val="Normal"/>
    <w:link w:val="Style19"/>
    <w:uiPriority w:val="99"/>
    <w:semiHidden/>
    <w:unhideWhenUsed/>
    <w:rsid w:val="00b60540"/>
    <w:pPr>
      <w:spacing w:lineRule="auto" w:line="240"/>
    </w:pPr>
    <w:rPr>
      <w:sz w:val="20"/>
      <w:szCs w:val="20"/>
    </w:rPr>
  </w:style>
  <w:style w:type="paragraph" w:styleId="annotationsubject">
    <w:name w:val="annotation subject"/>
    <w:basedOn w:val="AnnotationText"/>
    <w:next w:val="AnnotationText"/>
    <w:link w:val="Style20"/>
    <w:uiPriority w:val="99"/>
    <w:semiHidden/>
    <w:unhideWhenUsed/>
    <w:qFormat/>
    <w:rsid w:val="00b60540"/>
    <w:pPr/>
    <w:rPr>
      <w:b/>
      <w:bCs/>
    </w:rPr>
  </w:style>
  <w:style w:type="paragraph" w:styleId="21" w:customStyle="1">
    <w:name w:val="Основной текст (2)"/>
    <w:basedOn w:val="Normal"/>
    <w:link w:val="2"/>
    <w:qFormat/>
    <w:rsid w:val="007c4237"/>
    <w:pPr>
      <w:shd w:val="clear" w:color="auto" w:fill="FFFFFF"/>
      <w:spacing w:lineRule="atLeast" w:line="0" w:before="0" w:after="1140"/>
    </w:pPr>
    <w:rPr>
      <w:rFonts w:ascii="Times New Roman" w:hAnsi="Times New Roman" w:eastAsia="Times New Roman" w:cs="Times New Roman"/>
      <w:sz w:val="23"/>
      <w:szCs w:val="23"/>
    </w:rPr>
  </w:style>
  <w:style w:type="paragraph" w:styleId="Default" w:customStyle="1">
    <w:name w:val="Default"/>
    <w:qFormat/>
    <w:rsid w:val="007c4237"/>
    <w:pPr>
      <w:widowControl/>
      <w:suppressAutoHyphens w:val="true"/>
      <w:bidi w:val="0"/>
      <w:spacing w:lineRule="auto" w:line="240" w:before="0" w:after="0"/>
      <w:jc w:val="left"/>
    </w:pPr>
    <w:rPr>
      <w:rFonts w:ascii="Times New Roman" w:hAnsi="Times New Roman" w:eastAsia="Arial Unicode MS" w:cs="Times New Roman"/>
      <w:color w:val="000000"/>
      <w:kern w:val="0"/>
      <w:sz w:val="24"/>
      <w:szCs w:val="24"/>
      <w:lang w:val="ru-RU" w:eastAsia="ru-RU" w:bidi="ar-SA"/>
    </w:rPr>
  </w:style>
  <w:style w:type="numbering" w:styleId="Style25"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b">
    <w:name w:val="Table Grid"/>
    <w:basedOn w:val="a2"/>
    <w:uiPriority w:val="39"/>
    <w:rsid w:val="00290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kaprem37.ru/"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E39D7-6B6E-42CE-B339-841942950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Application>LibreOffice/24.2.4.2$Windows_X86_64 LibreOffice_project/51a6219feb6075d9a4c46691dcfe0cd9c4fff3c2</Application>
  <AppVersion>15.0000</AppVersion>
  <Pages>20</Pages>
  <Words>5251</Words>
  <Characters>38694</Characters>
  <CharactersWithSpaces>43804</CharactersWithSpaces>
  <Paragraphs>304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2017-11-30T17:36:00Z</dcterms:created>
  <dc:creator>Василий</dc:creator>
  <dc:description/>
  <dc:language>ru-RU</dc:language>
  <cp:lastModifiedBy/>
  <cp:lastPrinted>2018-08-06T14:54:00Z</cp:lastPrinted>
  <dcterms:modified xsi:type="dcterms:W3CDTF">2026-08-25T16:30:25Z</dcterms:modified>
  <cp:revision>65</cp:revision>
  <dc:subject/>
  <dc:title/>
</cp:coreProperties>
</file>

<file path=docProps/custom.xml><?xml version="1.0" encoding="utf-8"?>
<Properties xmlns="http://schemas.openxmlformats.org/officeDocument/2006/custom-properties" xmlns:vt="http://schemas.openxmlformats.org/officeDocument/2006/docPropsVTypes"/>
</file>